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DAFCA" w14:textId="77777777" w:rsidR="003170C2" w:rsidRDefault="003170C2" w:rsidP="00EC5200">
      <w:pPr>
        <w:pStyle w:val="Flietext"/>
      </w:pPr>
    </w:p>
    <w:p w14:paraId="40445848" w14:textId="77777777" w:rsidR="003170C2" w:rsidRDefault="003170C2" w:rsidP="00EC5200">
      <w:pPr>
        <w:pStyle w:val="Flietext"/>
      </w:pPr>
    </w:p>
    <w:p w14:paraId="093764D2" w14:textId="77777777" w:rsidR="003170C2" w:rsidRDefault="003170C2" w:rsidP="00EC5200">
      <w:pPr>
        <w:pStyle w:val="Flietext"/>
      </w:pPr>
    </w:p>
    <w:p w14:paraId="62C1F442" w14:textId="77777777" w:rsidR="00867DA3" w:rsidRDefault="00867DA3" w:rsidP="00EC5200">
      <w:pPr>
        <w:pStyle w:val="Flietext"/>
      </w:pPr>
    </w:p>
    <w:p w14:paraId="43C44C94" w14:textId="3A238DF9" w:rsidR="003170C2" w:rsidRDefault="00867DA3" w:rsidP="00EC5200">
      <w:pPr>
        <w:pStyle w:val="Flietext"/>
        <w:rPr>
          <w:b/>
          <w:bCs/>
          <w:sz w:val="52"/>
          <w:szCs w:val="52"/>
        </w:rPr>
      </w:pPr>
      <w:r>
        <w:rPr>
          <w:b/>
          <w:bCs/>
          <w:sz w:val="52"/>
          <w:szCs w:val="52"/>
        </w:rPr>
        <w:t>Muster</w:t>
      </w:r>
    </w:p>
    <w:p w14:paraId="07749B0A" w14:textId="5EF7381E" w:rsidR="00867DA3" w:rsidRPr="00867DA3" w:rsidRDefault="00867DA3" w:rsidP="00EC5200">
      <w:pPr>
        <w:pStyle w:val="Flietext"/>
        <w:rPr>
          <w:b/>
          <w:bCs/>
          <w:sz w:val="52"/>
          <w:szCs w:val="52"/>
        </w:rPr>
      </w:pPr>
      <w:r>
        <w:rPr>
          <w:b/>
          <w:bCs/>
          <w:sz w:val="52"/>
          <w:szCs w:val="52"/>
        </w:rPr>
        <w:t>für eine Vergabedienstanweisung</w:t>
      </w:r>
    </w:p>
    <w:p w14:paraId="64B10334" w14:textId="77777777" w:rsidR="00772E22" w:rsidRDefault="00EC5200">
      <w:pPr>
        <w:spacing w:before="0" w:line="276" w:lineRule="auto"/>
      </w:pPr>
      <w:r w:rsidRPr="007464FD">
        <w:br w:type="page"/>
      </w:r>
    </w:p>
    <w:p w14:paraId="01E21105" w14:textId="77777777" w:rsidR="00772E22" w:rsidRPr="00772E22" w:rsidRDefault="00772E22" w:rsidP="00772E22">
      <w:pPr>
        <w:pStyle w:val="Flietext"/>
        <w:rPr>
          <w:sz w:val="40"/>
          <w:szCs w:val="40"/>
        </w:rPr>
      </w:pPr>
      <w:r w:rsidRPr="00772E22">
        <w:rPr>
          <w:sz w:val="40"/>
          <w:szCs w:val="40"/>
        </w:rPr>
        <w:lastRenderedPageBreak/>
        <w:t>Vorwort</w:t>
      </w:r>
    </w:p>
    <w:p w14:paraId="58B39AE5" w14:textId="77777777" w:rsidR="00772E22" w:rsidRDefault="00772E22" w:rsidP="00772E22">
      <w:pPr>
        <w:pStyle w:val="Flietext"/>
      </w:pPr>
      <w:r>
        <w:t>Eine Vergabedienstanweisung, die die wesentlichen einzuhaltenden Verfahrensschritte und Vergabevorschriften in den verschiedenen Vergabeverfahren fixiert, sollte den Beschäftigten bei jeder Kommune zur Verfügung stehen. Sie trägt dazu bei, das Vergabeverfahren in einer Kommune zu standardisieren und zu vereinfachen. Ebenso minimiert eine solche Dienstanweisung das letztlich bei jeder Vergabe latent vorhandene Korruptionsrisiko.</w:t>
      </w:r>
    </w:p>
    <w:p w14:paraId="7D4A383A" w14:textId="77777777" w:rsidR="00772E22" w:rsidRDefault="00772E22" w:rsidP="00772E22">
      <w:pPr>
        <w:pStyle w:val="Flietext"/>
      </w:pPr>
      <w:r>
        <w:t>Das vorliegende Muster zur Erstellung einer Vergabedienstanweisung ist als Hilfestellung zu verstehen, um eine individuelle, auf die Bedürfnisse der jeweiligen Kommune zugeschnittene Dienstanweisung zu erarbeiten. Die in diesem Muster enthaltenen Regelungsvorschriften können je nach den örtlichen Gegebenheiten übernommen, ergänzt oder modifiziert werden – solange sich die Änderungen im gesetzlich vorgegebenen Rahmen bewegen.</w:t>
      </w:r>
    </w:p>
    <w:p w14:paraId="235C15A3" w14:textId="77777777" w:rsidR="00772E22" w:rsidRDefault="00772E22" w:rsidP="00772E22">
      <w:pPr>
        <w:pStyle w:val="Flietext"/>
      </w:pPr>
      <w:r>
        <w:t xml:space="preserve">Das bisherige Muster zur Erstellung einer Vergabedienstanweisung wurde umfassend überarbeitet. Denn </w:t>
      </w:r>
      <w:r w:rsidRPr="00124DE0">
        <w:t xml:space="preserve">Nordrhein-Westfalen hebt </w:t>
      </w:r>
      <w:r>
        <w:t xml:space="preserve">ab dem 01. Januar 2026 </w:t>
      </w:r>
      <w:r w:rsidRPr="00124DE0">
        <w:t>die Kommunalen</w:t>
      </w:r>
      <w:r>
        <w:t xml:space="preserve"> Vergabegrundsätze</w:t>
      </w:r>
      <w:r w:rsidRPr="00124DE0">
        <w:t xml:space="preserve"> auf</w:t>
      </w:r>
      <w:r>
        <w:t xml:space="preserve"> und gleichzeitig tritt § 75a GO NW in Kraft. Dadurch entfällt künftig die </w:t>
      </w:r>
      <w:r w:rsidRPr="006E4625">
        <w:t xml:space="preserve">Pflicht zur Anwendung der </w:t>
      </w:r>
      <w:proofErr w:type="spellStart"/>
      <w:r w:rsidRPr="006E4625">
        <w:t>UVgO</w:t>
      </w:r>
      <w:proofErr w:type="spellEnd"/>
      <w:r w:rsidRPr="006E4625">
        <w:t xml:space="preserve"> und der VOB/A (Abschnitt 1) für Unterschwellenvergaben</w:t>
      </w:r>
      <w:r>
        <w:t xml:space="preserve">. </w:t>
      </w:r>
      <w:r w:rsidRPr="00854E8C">
        <w:t xml:space="preserve">Der neue § 75a „Allgemeine Vergabegrundsätze“ bindet </w:t>
      </w:r>
      <w:r>
        <w:t>die</w:t>
      </w:r>
      <w:r w:rsidRPr="00854E8C">
        <w:t xml:space="preserve"> nordrhein-westfälischen Kommunen </w:t>
      </w:r>
      <w:r>
        <w:t>aber, ihre Vergaben wirtschaftlich, effizient und sparsam unter Beachtung der Grundsätze von Gleichbehandlung und Transparenz zu gestalten. Zudem gibt der § 75a GO NW in seinem zweiten Absatz vor, dass abstrakt-generelle Regelungen, die die Durchführung von Vergaben im Unterschwellenbereich betreffen und die Gestaltungs- und Vergabefreiheiten einschränken, der Form einer Satzung bedürfen.</w:t>
      </w:r>
    </w:p>
    <w:p w14:paraId="1EB6DEC4" w14:textId="271C599A" w:rsidR="00772E22" w:rsidRDefault="00772E22" w:rsidP="00772E22">
      <w:pPr>
        <w:pStyle w:val="Flietext"/>
      </w:pPr>
      <w:r>
        <w:t>Diese Muster-Vergabedienstanweisung enthält neben der Darstellung der vergaberechtlichen Grundlagen und Vergabegrundsätze insbesondere organisationsinterne Vorgaben über Zuständigkeiten bei der Durchführung von Vergaben. Hinsichtlich der Auslegung der neuen Vergaberechtslage ab 2026 im Unterschwellenbereich orientiert sich dieses Muster an den Ausführungen in der Broschüre „</w:t>
      </w:r>
      <w:r w:rsidRPr="00686D43">
        <w:t>Kommunale Vergaben im Land Nordrhein-Westfalen - Häufige Fragen und Antworten</w:t>
      </w:r>
      <w:r w:rsidR="008E6279">
        <w:t xml:space="preserve"> – Version 1</w:t>
      </w:r>
      <w:r>
        <w:t>“ des MHKBD.</w:t>
      </w:r>
      <w:r w:rsidR="00AB6A4A" w:rsidRPr="00AB6A4A">
        <w:t xml:space="preserve"> </w:t>
      </w:r>
      <w:r>
        <w:t xml:space="preserve">Zu den betreffenden Regelungen sind Hinweise auf </w:t>
      </w:r>
      <w:r w:rsidRPr="00AA1C0D">
        <w:t xml:space="preserve">die </w:t>
      </w:r>
      <w:bookmarkStart w:id="0" w:name="Einleitung_S"/>
      <w:r w:rsidRPr="00AA1C0D">
        <w:fldChar w:fldCharType="begin"/>
      </w:r>
      <w:r w:rsidRPr="00AA1C0D">
        <w:instrText>HYPERLINK  \l "_Anlage_4:_Verweise"</w:instrText>
      </w:r>
      <w:r w:rsidRPr="00AA1C0D">
        <w:fldChar w:fldCharType="separate"/>
      </w:r>
      <w:r w:rsidRPr="00AA1C0D">
        <w:rPr>
          <w:rStyle w:val="Hyperlink"/>
        </w:rPr>
        <w:t>Anlage 4</w:t>
      </w:r>
      <w:r w:rsidRPr="00AA1C0D">
        <w:fldChar w:fldCharType="end"/>
      </w:r>
      <w:bookmarkEnd w:id="0"/>
      <w:r>
        <w:t xml:space="preserve"> aufgeführt. In der Anlage 4 haben wir die Verweise zur FAQ-Liste übersichtlich zusammengestellt.</w:t>
      </w:r>
      <w:r w:rsidR="00AB6A4A">
        <w:t xml:space="preserve"> </w:t>
      </w:r>
      <w:r w:rsidR="00AB6A4A" w:rsidRPr="00AB6A4A">
        <w:t xml:space="preserve">Vor dem Hintergrund der zu erwartenden Ergänzungen der FAQ-Liste ist </w:t>
      </w:r>
      <w:r w:rsidR="00256024">
        <w:t>von</w:t>
      </w:r>
      <w:r w:rsidR="00AB6A4A" w:rsidRPr="00AB6A4A">
        <w:t xml:space="preserve"> entsprechenden Anpassung</w:t>
      </w:r>
      <w:r w:rsidR="00256024">
        <w:t>en</w:t>
      </w:r>
      <w:r w:rsidR="00AB6A4A" w:rsidRPr="00AB6A4A">
        <w:t xml:space="preserve"> der Musterdienstanweisung auszugehen</w:t>
      </w:r>
      <w:r w:rsidR="00AB6A4A">
        <w:t>.</w:t>
      </w:r>
    </w:p>
    <w:tbl>
      <w:tblPr>
        <w:tblStyle w:val="Tabelle"/>
        <w:tblW w:w="5000" w:type="pct"/>
        <w:tblInd w:w="0" w:type="dxa"/>
        <w:tblCellMar>
          <w:top w:w="0" w:type="dxa"/>
          <w:left w:w="0" w:type="dxa"/>
          <w:bottom w:w="0" w:type="dxa"/>
          <w:right w:w="0" w:type="dxa"/>
        </w:tblCellMar>
        <w:tblLook w:val="0600" w:firstRow="0" w:lastRow="0" w:firstColumn="0" w:lastColumn="0" w:noHBand="1" w:noVBand="1"/>
      </w:tblPr>
      <w:tblGrid>
        <w:gridCol w:w="8504"/>
      </w:tblGrid>
      <w:tr w:rsidR="00772E22" w14:paraId="279DDABB" w14:textId="77777777" w:rsidTr="002D5A60">
        <w:tc>
          <w:tcPr>
            <w:tcW w:w="8504" w:type="dxa"/>
            <w:tcBorders>
              <w:top w:val="nil"/>
              <w:left w:val="nil"/>
              <w:bottom w:val="nil"/>
              <w:right w:val="nil"/>
            </w:tcBorders>
            <w:shd w:val="clear" w:color="auto" w:fill="DCE3E7"/>
            <w:vAlign w:val="top"/>
          </w:tcPr>
          <w:p w14:paraId="7B19CB6C" w14:textId="329D837F" w:rsidR="00772E22" w:rsidRPr="006D7FCF" w:rsidRDefault="00772E22" w:rsidP="00522996">
            <w:pPr>
              <w:pStyle w:val="Sonderformat"/>
              <w:numPr>
                <w:ilvl w:val="0"/>
                <w:numId w:val="0"/>
              </w:numPr>
              <w:spacing w:after="120"/>
              <w:ind w:left="454"/>
            </w:pPr>
            <w:r>
              <w:rPr>
                <w:noProof/>
                <w:lang w:eastAsia="de-DE"/>
              </w:rPr>
              <w:drawing>
                <wp:inline distT="0" distB="0" distL="0" distR="0" wp14:anchorId="6FB1ECD3" wp14:editId="17D73E29">
                  <wp:extent cx="522605" cy="522605"/>
                  <wp:effectExtent l="0" t="0" r="0" b="0"/>
                  <wp:docPr id="3" name="Grafik 3" descr="Geöffnetes Buch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Geöffnetes Buch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522605" cy="522605"/>
                          </a:xfrm>
                          <a:prstGeom prst="rect">
                            <a:avLst/>
                          </a:prstGeom>
                        </pic:spPr>
                      </pic:pic>
                    </a:graphicData>
                  </a:graphic>
                </wp:inline>
              </w:drawing>
            </w:r>
            <w:r>
              <w:t xml:space="preserve">Konkrete Hinweise zum Bestehen eines Satzungserfordernisses sind in Form dieses Informationsfeldes aufgeführt. </w:t>
            </w:r>
            <w:r w:rsidRPr="00C82F37">
              <w:t xml:space="preserve">Wenn Sie unser Muster als Basis für Ihre Dienstanweisung nutzen, sollten Sie diese </w:t>
            </w:r>
            <w:r>
              <w:t>Informationsfelder</w:t>
            </w:r>
            <w:r w:rsidRPr="00C82F37">
              <w:t xml:space="preserve"> entfernen</w:t>
            </w:r>
            <w:r>
              <w:t>.</w:t>
            </w:r>
            <w:r w:rsidR="00142F4A">
              <w:br/>
            </w:r>
          </w:p>
        </w:tc>
      </w:tr>
    </w:tbl>
    <w:p w14:paraId="6DDD125F" w14:textId="77777777" w:rsidR="00772E22" w:rsidRDefault="00772E22" w:rsidP="00772E22">
      <w:pPr>
        <w:pStyle w:val="Flietext"/>
      </w:pPr>
      <w:r>
        <w:t>Dieses Muster kann unabhängig von einer Vergabesatzung, aber auch parallel dazu, verwendet werden. Bitte achten Sie darauf, dass die Regelungen der Vergabesatzung und der Vergabedienstanweisung harmonieren.</w:t>
      </w:r>
    </w:p>
    <w:p w14:paraId="5516A991" w14:textId="77777777" w:rsidR="00772E22" w:rsidRDefault="00772E22" w:rsidP="00772E22">
      <w:pPr>
        <w:pStyle w:val="Flietext"/>
      </w:pPr>
      <w:r>
        <w:t xml:space="preserve">Außerdem enthält die Muster-Vergabedienstanweisung voraussichtlich anstehende Änderungen, die sich aus dem Gesetz zur Vergabebeschleunigung ergeben. </w:t>
      </w:r>
      <w:r w:rsidRPr="00BD2ABA">
        <w:t xml:space="preserve">Nach Beschluss und </w:t>
      </w:r>
      <w:r w:rsidRPr="00BD2ABA">
        <w:lastRenderedPageBreak/>
        <w:t xml:space="preserve">Verkündung soll das </w:t>
      </w:r>
      <w:r>
        <w:t>Vergabebeschleunigungsg</w:t>
      </w:r>
      <w:r w:rsidRPr="00BD2ABA">
        <w:t xml:space="preserve">esetz am Datum des ersten Tages des auf die Verkündung folgenden Quartalsanfangs in Kraft treten, </w:t>
      </w:r>
      <w:r>
        <w:t>denkbar</w:t>
      </w:r>
      <w:r w:rsidRPr="00BD2ABA">
        <w:t xml:space="preserve"> </w:t>
      </w:r>
      <w:r>
        <w:t>ist der</w:t>
      </w:r>
      <w:r w:rsidRPr="00BD2ABA">
        <w:t xml:space="preserve"> </w:t>
      </w:r>
      <w:r>
        <w:t>0</w:t>
      </w:r>
      <w:r w:rsidRPr="00BD2ABA">
        <w:t xml:space="preserve">1. Januar oder </w:t>
      </w:r>
      <w:r>
        <w:t>der</w:t>
      </w:r>
      <w:r w:rsidRPr="00BD2ABA">
        <w:t xml:space="preserve"> </w:t>
      </w:r>
      <w:r>
        <w:t>0</w:t>
      </w:r>
      <w:r w:rsidRPr="00BD2ABA">
        <w:t>1. April 2026.</w:t>
      </w:r>
    </w:p>
    <w:tbl>
      <w:tblPr>
        <w:tblStyle w:val="Tabelle"/>
        <w:tblW w:w="5000" w:type="pct"/>
        <w:tblInd w:w="0" w:type="dxa"/>
        <w:tblCellMar>
          <w:top w:w="0" w:type="dxa"/>
          <w:left w:w="0" w:type="dxa"/>
          <w:bottom w:w="0" w:type="dxa"/>
          <w:right w:w="0" w:type="dxa"/>
        </w:tblCellMar>
        <w:tblLook w:val="0600" w:firstRow="0" w:lastRow="0" w:firstColumn="0" w:lastColumn="0" w:noHBand="1" w:noVBand="1"/>
      </w:tblPr>
      <w:tblGrid>
        <w:gridCol w:w="8504"/>
      </w:tblGrid>
      <w:tr w:rsidR="00772E22" w14:paraId="014A0A15" w14:textId="77777777" w:rsidTr="002D5A60">
        <w:tc>
          <w:tcPr>
            <w:tcW w:w="8504" w:type="dxa"/>
            <w:tcBorders>
              <w:top w:val="nil"/>
              <w:left w:val="nil"/>
              <w:bottom w:val="nil"/>
              <w:right w:val="nil"/>
            </w:tcBorders>
            <w:shd w:val="clear" w:color="auto" w:fill="DCE3E7"/>
            <w:vAlign w:val="top"/>
          </w:tcPr>
          <w:p w14:paraId="35210171" w14:textId="77777777" w:rsidR="00370256" w:rsidRPr="00370256" w:rsidRDefault="00370256" w:rsidP="00370256">
            <w:pPr>
              <w:pStyle w:val="Feststellungqualifiziert"/>
              <w:numPr>
                <w:ilvl w:val="0"/>
                <w:numId w:val="0"/>
              </w:numPr>
              <w:ind w:left="641"/>
            </w:pPr>
          </w:p>
          <w:p w14:paraId="39FB85D5" w14:textId="35345EAE" w:rsidR="00772E22" w:rsidRPr="00370256" w:rsidRDefault="00772E22" w:rsidP="00D33A97">
            <w:pPr>
              <w:pStyle w:val="Feststellungqualifiziert"/>
              <w:tabs>
                <w:tab w:val="clear" w:pos="567"/>
                <w:tab w:val="left" w:pos="426"/>
              </w:tabs>
              <w:ind w:right="284"/>
              <w:rPr>
                <w:i/>
              </w:rPr>
            </w:pPr>
            <w:r w:rsidRPr="00370256">
              <w:rPr>
                <w:i/>
              </w:rPr>
              <w:t>Wir haben darüber hinaus ergänzende Erläuterungen und Hinweise auf Modifizierungsmöglichkeiten aufgenommen. Diese leiten wir mit einem roten Pfeil ein und stellen sie kursiv dar. Wenn Sie unser Muster als Basis für Ihre Dienstanweisung nutzen, sollten Sie diese kursiv gehaltenen Absätze entfernen.</w:t>
            </w:r>
          </w:p>
        </w:tc>
      </w:tr>
    </w:tbl>
    <w:p w14:paraId="107188F8" w14:textId="77777777" w:rsidR="00772E22" w:rsidRDefault="00772E22" w:rsidP="00772E22">
      <w:pPr>
        <w:pStyle w:val="Flietext"/>
      </w:pPr>
      <w:r>
        <w:t xml:space="preserve">Dieses Muster richtet sich an die Kommunen in Nordrhein-Westfalen. </w:t>
      </w:r>
      <w:bookmarkStart w:id="1" w:name="_Hlk212102722"/>
      <w:r>
        <w:t>Sollten für die eigenbetriebsähnlichen Einrichtungen, übrigen Sondervermögen und selbstständigen Ausgliederungen entsprechende Regelungen beabsichtigt sein, ist dies unter Berücksichtigung des § 99 GWB ausdrücklich zu regeln</w:t>
      </w:r>
      <w:bookmarkEnd w:id="1"/>
      <w:r>
        <w:t>.</w:t>
      </w:r>
    </w:p>
    <w:p w14:paraId="6EA0548E" w14:textId="77777777" w:rsidR="00772E22" w:rsidRDefault="00772E22" w:rsidP="00772E22">
      <w:pPr>
        <w:pStyle w:val="Flietext"/>
      </w:pPr>
      <w:r>
        <w:t xml:space="preserve">Dieses Muster haben wir mit großer Sorgfalt erarbeitet. Ungeachtet dessen kann die </w:t>
      </w:r>
      <w:proofErr w:type="spellStart"/>
      <w:r>
        <w:t>gpaNRW</w:t>
      </w:r>
      <w:proofErr w:type="spellEnd"/>
      <w:r>
        <w:t xml:space="preserve"> keine Gewähr für Vollständigkeit und Richtigkeit des Inhalts übernehmen.</w:t>
      </w:r>
    </w:p>
    <w:p w14:paraId="17D8B55A" w14:textId="6BC6B922" w:rsidR="00772E22" w:rsidRDefault="00772E22" w:rsidP="00772E22">
      <w:pPr>
        <w:pStyle w:val="Flietext"/>
      </w:pPr>
      <w:r>
        <w:t xml:space="preserve">Herne, den </w:t>
      </w:r>
      <w:r w:rsidR="002927F6">
        <w:t>2</w:t>
      </w:r>
      <w:r w:rsidR="00FC6FB8">
        <w:t>5</w:t>
      </w:r>
      <w:r>
        <w:t>.</w:t>
      </w:r>
      <w:r w:rsidR="002927F6">
        <w:t xml:space="preserve"> November</w:t>
      </w:r>
      <w:r>
        <w:t xml:space="preserve"> 2025</w:t>
      </w:r>
    </w:p>
    <w:p w14:paraId="7E9456B2" w14:textId="77777777" w:rsidR="00772E22" w:rsidRDefault="00772E22">
      <w:pPr>
        <w:spacing w:before="0" w:line="276" w:lineRule="auto"/>
      </w:pPr>
    </w:p>
    <w:p w14:paraId="6ACD6723" w14:textId="77777777" w:rsidR="00772E22" w:rsidRDefault="00772E22">
      <w:pPr>
        <w:spacing w:before="0" w:line="276" w:lineRule="auto"/>
      </w:pPr>
    </w:p>
    <w:p w14:paraId="7BF9F4B5" w14:textId="3A6F0595" w:rsidR="00772E22" w:rsidRDefault="00772E22">
      <w:pPr>
        <w:spacing w:before="0" w:line="276" w:lineRule="auto"/>
      </w:pPr>
      <w:r>
        <w:br w:type="page"/>
      </w:r>
    </w:p>
    <w:p w14:paraId="6C675DD0" w14:textId="77777777" w:rsidR="00772E22" w:rsidRDefault="00772E22" w:rsidP="00772E22">
      <w:pPr>
        <w:pStyle w:val="Flietext"/>
        <w:rPr>
          <w:color w:val="00B0F0"/>
          <w:sz w:val="40"/>
        </w:rPr>
      </w:pPr>
      <w:r>
        <w:rPr>
          <w:sz w:val="40"/>
          <w:szCs w:val="40"/>
        </w:rPr>
        <w:lastRenderedPageBreak/>
        <w:t xml:space="preserve">Dienstanweisung für die Durchführung von Vergabeverfahren bei der </w:t>
      </w:r>
      <w:r>
        <w:rPr>
          <w:color w:val="00B0F0"/>
          <w:sz w:val="40"/>
        </w:rPr>
        <w:t>&lt;&lt;Musterkommune&gt;&gt;</w:t>
      </w:r>
    </w:p>
    <w:p w14:paraId="5035E784" w14:textId="77777777" w:rsidR="00772E22" w:rsidRDefault="00772E22">
      <w:pPr>
        <w:spacing w:before="0" w:line="276" w:lineRule="auto"/>
      </w:pPr>
    </w:p>
    <w:p w14:paraId="1E4967CF" w14:textId="64FA9383" w:rsidR="00772E22" w:rsidRDefault="00772E22">
      <w:pPr>
        <w:spacing w:before="0" w:line="276" w:lineRule="auto"/>
        <w:rPr>
          <w:sz w:val="20"/>
        </w:rPr>
      </w:pPr>
      <w:r>
        <w:br w:type="page"/>
      </w:r>
    </w:p>
    <w:p w14:paraId="01203729" w14:textId="77777777" w:rsidR="00EC5200" w:rsidRPr="00E21163" w:rsidRDefault="00EC5200" w:rsidP="00EC5200">
      <w:pPr>
        <w:pStyle w:val="Inhaltsverzeichnis"/>
      </w:pPr>
      <w:r w:rsidRPr="00E21163">
        <w:lastRenderedPageBreak/>
        <w:t>Inhaltsverzeichnis</w:t>
      </w:r>
    </w:p>
    <w:p w14:paraId="6685BA89" w14:textId="6E9CC314" w:rsidR="001A76C8" w:rsidRDefault="00772E22">
      <w:pPr>
        <w:pStyle w:val="Verzeichnis1"/>
        <w:rPr>
          <w:rFonts w:asciiTheme="minorHAnsi" w:eastAsiaTheme="minorEastAsia" w:hAnsiTheme="minorHAnsi"/>
          <w:b w:val="0"/>
          <w:kern w:val="2"/>
          <w:sz w:val="24"/>
          <w:szCs w:val="24"/>
          <w:lang w:eastAsia="de-DE"/>
          <w14:ligatures w14:val="standardContextual"/>
        </w:rPr>
      </w:pPr>
      <w:r>
        <w:fldChar w:fldCharType="begin"/>
      </w:r>
      <w:r>
        <w:instrText xml:space="preserve"> TOC \o "1-2" \h \z \u </w:instrText>
      </w:r>
      <w:r>
        <w:fldChar w:fldCharType="separate"/>
      </w:r>
      <w:hyperlink w:anchor="_Toc215054269" w:history="1">
        <w:r w:rsidR="001A76C8" w:rsidRPr="00A71DA2">
          <w:rPr>
            <w:rStyle w:val="Hyperlink"/>
          </w:rPr>
          <w:t>1.</w:t>
        </w:r>
        <w:r w:rsidR="001A76C8">
          <w:rPr>
            <w:rFonts w:asciiTheme="minorHAnsi" w:eastAsiaTheme="minorEastAsia" w:hAnsiTheme="minorHAnsi"/>
            <w:b w:val="0"/>
            <w:kern w:val="2"/>
            <w:sz w:val="24"/>
            <w:szCs w:val="24"/>
            <w:lang w:eastAsia="de-DE"/>
            <w14:ligatures w14:val="standardContextual"/>
          </w:rPr>
          <w:tab/>
        </w:r>
        <w:r w:rsidR="001A76C8" w:rsidRPr="00A71DA2">
          <w:rPr>
            <w:rStyle w:val="Hyperlink"/>
          </w:rPr>
          <w:t>Vorbemerkungen</w:t>
        </w:r>
        <w:r w:rsidR="001A76C8">
          <w:rPr>
            <w:webHidden/>
          </w:rPr>
          <w:tab/>
        </w:r>
        <w:r w:rsidR="001A76C8">
          <w:rPr>
            <w:webHidden/>
          </w:rPr>
          <w:fldChar w:fldCharType="begin"/>
        </w:r>
        <w:r w:rsidR="001A76C8">
          <w:rPr>
            <w:webHidden/>
          </w:rPr>
          <w:instrText xml:space="preserve"> PAGEREF _Toc215054269 \h </w:instrText>
        </w:r>
        <w:r w:rsidR="001A76C8">
          <w:rPr>
            <w:webHidden/>
          </w:rPr>
        </w:r>
        <w:r w:rsidR="001A76C8">
          <w:rPr>
            <w:webHidden/>
          </w:rPr>
          <w:fldChar w:fldCharType="separate"/>
        </w:r>
        <w:r w:rsidR="00B72972">
          <w:rPr>
            <w:webHidden/>
          </w:rPr>
          <w:t>6</w:t>
        </w:r>
        <w:r w:rsidR="001A76C8">
          <w:rPr>
            <w:webHidden/>
          </w:rPr>
          <w:fldChar w:fldCharType="end"/>
        </w:r>
      </w:hyperlink>
    </w:p>
    <w:p w14:paraId="3351F555" w14:textId="256586C0" w:rsidR="001A76C8" w:rsidRDefault="000C15E6">
      <w:pPr>
        <w:pStyle w:val="Verzeichnis1"/>
        <w:rPr>
          <w:rFonts w:asciiTheme="minorHAnsi" w:eastAsiaTheme="minorEastAsia" w:hAnsiTheme="minorHAnsi"/>
          <w:b w:val="0"/>
          <w:kern w:val="2"/>
          <w:sz w:val="24"/>
          <w:szCs w:val="24"/>
          <w:lang w:eastAsia="de-DE"/>
          <w14:ligatures w14:val="standardContextual"/>
        </w:rPr>
      </w:pPr>
      <w:hyperlink w:anchor="_Toc215054270" w:history="1">
        <w:r w:rsidR="001A76C8" w:rsidRPr="00A71DA2">
          <w:rPr>
            <w:rStyle w:val="Hyperlink"/>
          </w:rPr>
          <w:t>2.</w:t>
        </w:r>
        <w:r w:rsidR="001A76C8">
          <w:rPr>
            <w:rFonts w:asciiTheme="minorHAnsi" w:eastAsiaTheme="minorEastAsia" w:hAnsiTheme="minorHAnsi"/>
            <w:b w:val="0"/>
            <w:kern w:val="2"/>
            <w:sz w:val="24"/>
            <w:szCs w:val="24"/>
            <w:lang w:eastAsia="de-DE"/>
            <w14:ligatures w14:val="standardContextual"/>
          </w:rPr>
          <w:tab/>
        </w:r>
        <w:r w:rsidR="001A76C8" w:rsidRPr="00A71DA2">
          <w:rPr>
            <w:rStyle w:val="Hyperlink"/>
          </w:rPr>
          <w:t>Vergaberechtliche Regelungen</w:t>
        </w:r>
        <w:r w:rsidR="001A76C8">
          <w:rPr>
            <w:webHidden/>
          </w:rPr>
          <w:tab/>
        </w:r>
        <w:r w:rsidR="001A76C8">
          <w:rPr>
            <w:webHidden/>
          </w:rPr>
          <w:fldChar w:fldCharType="begin"/>
        </w:r>
        <w:r w:rsidR="001A76C8">
          <w:rPr>
            <w:webHidden/>
          </w:rPr>
          <w:instrText xml:space="preserve"> PAGEREF _Toc215054270 \h </w:instrText>
        </w:r>
        <w:r w:rsidR="001A76C8">
          <w:rPr>
            <w:webHidden/>
          </w:rPr>
        </w:r>
        <w:r w:rsidR="001A76C8">
          <w:rPr>
            <w:webHidden/>
          </w:rPr>
          <w:fldChar w:fldCharType="separate"/>
        </w:r>
        <w:r w:rsidR="00B72972">
          <w:rPr>
            <w:webHidden/>
          </w:rPr>
          <w:t>7</w:t>
        </w:r>
        <w:r w:rsidR="001A76C8">
          <w:rPr>
            <w:webHidden/>
          </w:rPr>
          <w:fldChar w:fldCharType="end"/>
        </w:r>
      </w:hyperlink>
    </w:p>
    <w:p w14:paraId="6A3D965E" w14:textId="6DC056B8"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71" w:history="1">
        <w:r w:rsidR="001A76C8" w:rsidRPr="00A71DA2">
          <w:rPr>
            <w:rStyle w:val="Hyperlink"/>
          </w:rPr>
          <w:t>2.1</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Geltungsbereich</w:t>
        </w:r>
        <w:r w:rsidR="001A76C8">
          <w:rPr>
            <w:webHidden/>
          </w:rPr>
          <w:tab/>
        </w:r>
        <w:r w:rsidR="001A76C8">
          <w:rPr>
            <w:webHidden/>
          </w:rPr>
          <w:fldChar w:fldCharType="begin"/>
        </w:r>
        <w:r w:rsidR="001A76C8">
          <w:rPr>
            <w:webHidden/>
          </w:rPr>
          <w:instrText xml:space="preserve"> PAGEREF _Toc215054271 \h </w:instrText>
        </w:r>
        <w:r w:rsidR="001A76C8">
          <w:rPr>
            <w:webHidden/>
          </w:rPr>
        </w:r>
        <w:r w:rsidR="001A76C8">
          <w:rPr>
            <w:webHidden/>
          </w:rPr>
          <w:fldChar w:fldCharType="separate"/>
        </w:r>
        <w:r w:rsidR="00B72972">
          <w:rPr>
            <w:webHidden/>
          </w:rPr>
          <w:t>7</w:t>
        </w:r>
        <w:r w:rsidR="001A76C8">
          <w:rPr>
            <w:webHidden/>
          </w:rPr>
          <w:fldChar w:fldCharType="end"/>
        </w:r>
      </w:hyperlink>
    </w:p>
    <w:p w14:paraId="57BE81D8" w14:textId="535C13E6"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72" w:history="1">
        <w:r w:rsidR="001A76C8" w:rsidRPr="00A71DA2">
          <w:rPr>
            <w:rStyle w:val="Hyperlink"/>
          </w:rPr>
          <w:t>2.2</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Wahl des anzuwendenden Vergaberechts</w:t>
        </w:r>
        <w:r w:rsidR="001A76C8">
          <w:rPr>
            <w:webHidden/>
          </w:rPr>
          <w:tab/>
        </w:r>
        <w:r w:rsidR="001A76C8">
          <w:rPr>
            <w:webHidden/>
          </w:rPr>
          <w:fldChar w:fldCharType="begin"/>
        </w:r>
        <w:r w:rsidR="001A76C8">
          <w:rPr>
            <w:webHidden/>
          </w:rPr>
          <w:instrText xml:space="preserve"> PAGEREF _Toc215054272 \h </w:instrText>
        </w:r>
        <w:r w:rsidR="001A76C8">
          <w:rPr>
            <w:webHidden/>
          </w:rPr>
        </w:r>
        <w:r w:rsidR="001A76C8">
          <w:rPr>
            <w:webHidden/>
          </w:rPr>
          <w:fldChar w:fldCharType="separate"/>
        </w:r>
        <w:r w:rsidR="00B72972">
          <w:rPr>
            <w:webHidden/>
          </w:rPr>
          <w:t>7</w:t>
        </w:r>
        <w:r w:rsidR="001A76C8">
          <w:rPr>
            <w:webHidden/>
          </w:rPr>
          <w:fldChar w:fldCharType="end"/>
        </w:r>
      </w:hyperlink>
    </w:p>
    <w:p w14:paraId="42881250" w14:textId="1E5ECCF0"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73" w:history="1">
        <w:r w:rsidR="001A76C8" w:rsidRPr="00A71DA2">
          <w:rPr>
            <w:rStyle w:val="Hyperlink"/>
          </w:rPr>
          <w:t>2.3</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EU-Schwellenwerte</w:t>
        </w:r>
        <w:r w:rsidR="001A76C8">
          <w:rPr>
            <w:webHidden/>
          </w:rPr>
          <w:tab/>
        </w:r>
        <w:r w:rsidR="001A76C8">
          <w:rPr>
            <w:webHidden/>
          </w:rPr>
          <w:fldChar w:fldCharType="begin"/>
        </w:r>
        <w:r w:rsidR="001A76C8">
          <w:rPr>
            <w:webHidden/>
          </w:rPr>
          <w:instrText xml:space="preserve"> PAGEREF _Toc215054273 \h </w:instrText>
        </w:r>
        <w:r w:rsidR="001A76C8">
          <w:rPr>
            <w:webHidden/>
          </w:rPr>
        </w:r>
        <w:r w:rsidR="001A76C8">
          <w:rPr>
            <w:webHidden/>
          </w:rPr>
          <w:fldChar w:fldCharType="separate"/>
        </w:r>
        <w:r w:rsidR="00B72972">
          <w:rPr>
            <w:webHidden/>
          </w:rPr>
          <w:t>8</w:t>
        </w:r>
        <w:r w:rsidR="001A76C8">
          <w:rPr>
            <w:webHidden/>
          </w:rPr>
          <w:fldChar w:fldCharType="end"/>
        </w:r>
      </w:hyperlink>
    </w:p>
    <w:p w14:paraId="79334E8A" w14:textId="43305ED8"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74" w:history="1">
        <w:r w:rsidR="001A76C8" w:rsidRPr="00A71DA2">
          <w:rPr>
            <w:rStyle w:val="Hyperlink"/>
          </w:rPr>
          <w:t>2.4</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Rechtliche Grundlagen</w:t>
        </w:r>
        <w:r w:rsidR="001A76C8">
          <w:rPr>
            <w:webHidden/>
          </w:rPr>
          <w:tab/>
        </w:r>
        <w:r w:rsidR="001A76C8">
          <w:rPr>
            <w:webHidden/>
          </w:rPr>
          <w:fldChar w:fldCharType="begin"/>
        </w:r>
        <w:r w:rsidR="001A76C8">
          <w:rPr>
            <w:webHidden/>
          </w:rPr>
          <w:instrText xml:space="preserve"> PAGEREF _Toc215054274 \h </w:instrText>
        </w:r>
        <w:r w:rsidR="001A76C8">
          <w:rPr>
            <w:webHidden/>
          </w:rPr>
        </w:r>
        <w:r w:rsidR="001A76C8">
          <w:rPr>
            <w:webHidden/>
          </w:rPr>
          <w:fldChar w:fldCharType="separate"/>
        </w:r>
        <w:r w:rsidR="00B72972">
          <w:rPr>
            <w:webHidden/>
          </w:rPr>
          <w:t>8</w:t>
        </w:r>
        <w:r w:rsidR="001A76C8">
          <w:rPr>
            <w:webHidden/>
          </w:rPr>
          <w:fldChar w:fldCharType="end"/>
        </w:r>
      </w:hyperlink>
    </w:p>
    <w:p w14:paraId="40590F46" w14:textId="4B15D8C6"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75" w:history="1">
        <w:r w:rsidR="001A76C8" w:rsidRPr="00A71DA2">
          <w:rPr>
            <w:rStyle w:val="Hyperlink"/>
          </w:rPr>
          <w:t>2.5</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Vergabegrundsätze</w:t>
        </w:r>
        <w:r w:rsidR="001A76C8">
          <w:rPr>
            <w:webHidden/>
          </w:rPr>
          <w:tab/>
        </w:r>
        <w:r w:rsidR="001A76C8">
          <w:rPr>
            <w:webHidden/>
          </w:rPr>
          <w:fldChar w:fldCharType="begin"/>
        </w:r>
        <w:r w:rsidR="001A76C8">
          <w:rPr>
            <w:webHidden/>
          </w:rPr>
          <w:instrText xml:space="preserve"> PAGEREF _Toc215054275 \h </w:instrText>
        </w:r>
        <w:r w:rsidR="001A76C8">
          <w:rPr>
            <w:webHidden/>
          </w:rPr>
        </w:r>
        <w:r w:rsidR="001A76C8">
          <w:rPr>
            <w:webHidden/>
          </w:rPr>
          <w:fldChar w:fldCharType="separate"/>
        </w:r>
        <w:r w:rsidR="00B72972">
          <w:rPr>
            <w:webHidden/>
          </w:rPr>
          <w:t>10</w:t>
        </w:r>
        <w:r w:rsidR="001A76C8">
          <w:rPr>
            <w:webHidden/>
          </w:rPr>
          <w:fldChar w:fldCharType="end"/>
        </w:r>
      </w:hyperlink>
    </w:p>
    <w:p w14:paraId="33ABD61C" w14:textId="06411D02"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76" w:history="1">
        <w:r w:rsidR="001A76C8" w:rsidRPr="00A71DA2">
          <w:rPr>
            <w:rStyle w:val="Hyperlink"/>
          </w:rPr>
          <w:t>2.6</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Zuständigkeiten</w:t>
        </w:r>
        <w:r w:rsidR="001A76C8">
          <w:rPr>
            <w:webHidden/>
          </w:rPr>
          <w:tab/>
        </w:r>
        <w:r w:rsidR="001A76C8">
          <w:rPr>
            <w:webHidden/>
          </w:rPr>
          <w:fldChar w:fldCharType="begin"/>
        </w:r>
        <w:r w:rsidR="001A76C8">
          <w:rPr>
            <w:webHidden/>
          </w:rPr>
          <w:instrText xml:space="preserve"> PAGEREF _Toc215054276 \h </w:instrText>
        </w:r>
        <w:r w:rsidR="001A76C8">
          <w:rPr>
            <w:webHidden/>
          </w:rPr>
        </w:r>
        <w:r w:rsidR="001A76C8">
          <w:rPr>
            <w:webHidden/>
          </w:rPr>
          <w:fldChar w:fldCharType="separate"/>
        </w:r>
        <w:r w:rsidR="00B72972">
          <w:rPr>
            <w:webHidden/>
          </w:rPr>
          <w:t>13</w:t>
        </w:r>
        <w:r w:rsidR="001A76C8">
          <w:rPr>
            <w:webHidden/>
          </w:rPr>
          <w:fldChar w:fldCharType="end"/>
        </w:r>
      </w:hyperlink>
    </w:p>
    <w:p w14:paraId="6241B64E" w14:textId="7D13ED83"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77" w:history="1">
        <w:r w:rsidR="001A76C8" w:rsidRPr="00A71DA2">
          <w:rPr>
            <w:rStyle w:val="Hyperlink"/>
          </w:rPr>
          <w:t>2.7</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Binnenmarktrelevanz</w:t>
        </w:r>
        <w:r w:rsidR="001A76C8">
          <w:rPr>
            <w:webHidden/>
          </w:rPr>
          <w:tab/>
        </w:r>
        <w:r w:rsidR="001A76C8">
          <w:rPr>
            <w:webHidden/>
          </w:rPr>
          <w:fldChar w:fldCharType="begin"/>
        </w:r>
        <w:r w:rsidR="001A76C8">
          <w:rPr>
            <w:webHidden/>
          </w:rPr>
          <w:instrText xml:space="preserve"> PAGEREF _Toc215054277 \h </w:instrText>
        </w:r>
        <w:r w:rsidR="001A76C8">
          <w:rPr>
            <w:webHidden/>
          </w:rPr>
        </w:r>
        <w:r w:rsidR="001A76C8">
          <w:rPr>
            <w:webHidden/>
          </w:rPr>
          <w:fldChar w:fldCharType="separate"/>
        </w:r>
        <w:r w:rsidR="00B72972">
          <w:rPr>
            <w:webHidden/>
          </w:rPr>
          <w:t>14</w:t>
        </w:r>
        <w:r w:rsidR="001A76C8">
          <w:rPr>
            <w:webHidden/>
          </w:rPr>
          <w:fldChar w:fldCharType="end"/>
        </w:r>
      </w:hyperlink>
    </w:p>
    <w:p w14:paraId="0DFBA8C7" w14:textId="0D7B190C"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78" w:history="1">
        <w:r w:rsidR="001A76C8" w:rsidRPr="00A71DA2">
          <w:rPr>
            <w:rStyle w:val="Hyperlink"/>
          </w:rPr>
          <w:t>2.8</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Wettbewerbsregisterabfrage</w:t>
        </w:r>
        <w:r w:rsidR="001A76C8">
          <w:rPr>
            <w:webHidden/>
          </w:rPr>
          <w:tab/>
        </w:r>
        <w:r w:rsidR="001A76C8">
          <w:rPr>
            <w:webHidden/>
          </w:rPr>
          <w:fldChar w:fldCharType="begin"/>
        </w:r>
        <w:r w:rsidR="001A76C8">
          <w:rPr>
            <w:webHidden/>
          </w:rPr>
          <w:instrText xml:space="preserve"> PAGEREF _Toc215054278 \h </w:instrText>
        </w:r>
        <w:r w:rsidR="001A76C8">
          <w:rPr>
            <w:webHidden/>
          </w:rPr>
        </w:r>
        <w:r w:rsidR="001A76C8">
          <w:rPr>
            <w:webHidden/>
          </w:rPr>
          <w:fldChar w:fldCharType="separate"/>
        </w:r>
        <w:r w:rsidR="00B72972">
          <w:rPr>
            <w:webHidden/>
          </w:rPr>
          <w:t>15</w:t>
        </w:r>
        <w:r w:rsidR="001A76C8">
          <w:rPr>
            <w:webHidden/>
          </w:rPr>
          <w:fldChar w:fldCharType="end"/>
        </w:r>
      </w:hyperlink>
    </w:p>
    <w:p w14:paraId="0A8696FD" w14:textId="36B9B825"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79" w:history="1">
        <w:r w:rsidR="001A76C8" w:rsidRPr="00A71DA2">
          <w:rPr>
            <w:rStyle w:val="Hyperlink"/>
          </w:rPr>
          <w:t>2.9</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Vieraugenprinzip</w:t>
        </w:r>
        <w:r w:rsidR="001A76C8">
          <w:rPr>
            <w:webHidden/>
          </w:rPr>
          <w:tab/>
        </w:r>
        <w:r w:rsidR="001A76C8">
          <w:rPr>
            <w:webHidden/>
          </w:rPr>
          <w:fldChar w:fldCharType="begin"/>
        </w:r>
        <w:r w:rsidR="001A76C8">
          <w:rPr>
            <w:webHidden/>
          </w:rPr>
          <w:instrText xml:space="preserve"> PAGEREF _Toc215054279 \h </w:instrText>
        </w:r>
        <w:r w:rsidR="001A76C8">
          <w:rPr>
            <w:webHidden/>
          </w:rPr>
        </w:r>
        <w:r w:rsidR="001A76C8">
          <w:rPr>
            <w:webHidden/>
          </w:rPr>
          <w:fldChar w:fldCharType="separate"/>
        </w:r>
        <w:r w:rsidR="00B72972">
          <w:rPr>
            <w:webHidden/>
          </w:rPr>
          <w:t>15</w:t>
        </w:r>
        <w:r w:rsidR="001A76C8">
          <w:rPr>
            <w:webHidden/>
          </w:rPr>
          <w:fldChar w:fldCharType="end"/>
        </w:r>
      </w:hyperlink>
    </w:p>
    <w:p w14:paraId="685B2054" w14:textId="09341BE9"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80" w:history="1">
        <w:r w:rsidR="001A76C8" w:rsidRPr="00A71DA2">
          <w:rPr>
            <w:rStyle w:val="Hyperlink"/>
          </w:rPr>
          <w:t>2.10</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Verfahrensarten</w:t>
        </w:r>
        <w:r w:rsidR="001A76C8">
          <w:rPr>
            <w:webHidden/>
          </w:rPr>
          <w:tab/>
        </w:r>
        <w:r w:rsidR="001A76C8">
          <w:rPr>
            <w:webHidden/>
          </w:rPr>
          <w:fldChar w:fldCharType="begin"/>
        </w:r>
        <w:r w:rsidR="001A76C8">
          <w:rPr>
            <w:webHidden/>
          </w:rPr>
          <w:instrText xml:space="preserve"> PAGEREF _Toc215054280 \h </w:instrText>
        </w:r>
        <w:r w:rsidR="001A76C8">
          <w:rPr>
            <w:webHidden/>
          </w:rPr>
        </w:r>
        <w:r w:rsidR="001A76C8">
          <w:rPr>
            <w:webHidden/>
          </w:rPr>
          <w:fldChar w:fldCharType="separate"/>
        </w:r>
        <w:r w:rsidR="00B72972">
          <w:rPr>
            <w:webHidden/>
          </w:rPr>
          <w:t>15</w:t>
        </w:r>
        <w:r w:rsidR="001A76C8">
          <w:rPr>
            <w:webHidden/>
          </w:rPr>
          <w:fldChar w:fldCharType="end"/>
        </w:r>
      </w:hyperlink>
    </w:p>
    <w:p w14:paraId="0AF42E1B" w14:textId="613A4BFF"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81" w:history="1">
        <w:r w:rsidR="001A76C8" w:rsidRPr="00A71DA2">
          <w:rPr>
            <w:rStyle w:val="Hyperlink"/>
          </w:rPr>
          <w:t>2.11</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Einholung von Angeboten</w:t>
        </w:r>
        <w:r w:rsidR="001A76C8">
          <w:rPr>
            <w:webHidden/>
          </w:rPr>
          <w:tab/>
        </w:r>
        <w:r w:rsidR="001A76C8">
          <w:rPr>
            <w:webHidden/>
          </w:rPr>
          <w:fldChar w:fldCharType="begin"/>
        </w:r>
        <w:r w:rsidR="001A76C8">
          <w:rPr>
            <w:webHidden/>
          </w:rPr>
          <w:instrText xml:space="preserve"> PAGEREF _Toc215054281 \h </w:instrText>
        </w:r>
        <w:r w:rsidR="001A76C8">
          <w:rPr>
            <w:webHidden/>
          </w:rPr>
        </w:r>
        <w:r w:rsidR="001A76C8">
          <w:rPr>
            <w:webHidden/>
          </w:rPr>
          <w:fldChar w:fldCharType="separate"/>
        </w:r>
        <w:r w:rsidR="00B72972">
          <w:rPr>
            <w:webHidden/>
          </w:rPr>
          <w:t>16</w:t>
        </w:r>
        <w:r w:rsidR="001A76C8">
          <w:rPr>
            <w:webHidden/>
          </w:rPr>
          <w:fldChar w:fldCharType="end"/>
        </w:r>
      </w:hyperlink>
    </w:p>
    <w:p w14:paraId="54997163" w14:textId="67E79934"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82" w:history="1">
        <w:r w:rsidR="001A76C8" w:rsidRPr="00A71DA2">
          <w:rPr>
            <w:rStyle w:val="Hyperlink"/>
          </w:rPr>
          <w:t>2.12</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Öffnung der Angebote</w:t>
        </w:r>
        <w:r w:rsidR="001A76C8">
          <w:rPr>
            <w:webHidden/>
          </w:rPr>
          <w:tab/>
        </w:r>
        <w:r w:rsidR="001A76C8">
          <w:rPr>
            <w:webHidden/>
          </w:rPr>
          <w:fldChar w:fldCharType="begin"/>
        </w:r>
        <w:r w:rsidR="001A76C8">
          <w:rPr>
            <w:webHidden/>
          </w:rPr>
          <w:instrText xml:space="preserve"> PAGEREF _Toc215054282 \h </w:instrText>
        </w:r>
        <w:r w:rsidR="001A76C8">
          <w:rPr>
            <w:webHidden/>
          </w:rPr>
        </w:r>
        <w:r w:rsidR="001A76C8">
          <w:rPr>
            <w:webHidden/>
          </w:rPr>
          <w:fldChar w:fldCharType="separate"/>
        </w:r>
        <w:r w:rsidR="00B72972">
          <w:rPr>
            <w:webHidden/>
          </w:rPr>
          <w:t>17</w:t>
        </w:r>
        <w:r w:rsidR="001A76C8">
          <w:rPr>
            <w:webHidden/>
          </w:rPr>
          <w:fldChar w:fldCharType="end"/>
        </w:r>
      </w:hyperlink>
    </w:p>
    <w:p w14:paraId="1D9FC9EB" w14:textId="3CFA0802"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83" w:history="1">
        <w:r w:rsidR="001A76C8" w:rsidRPr="00A71DA2">
          <w:rPr>
            <w:rStyle w:val="Hyperlink"/>
          </w:rPr>
          <w:t>2.13</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Nachforderung von Unterlagen</w:t>
        </w:r>
        <w:r w:rsidR="001A76C8">
          <w:rPr>
            <w:webHidden/>
          </w:rPr>
          <w:tab/>
        </w:r>
        <w:r w:rsidR="001A76C8">
          <w:rPr>
            <w:webHidden/>
          </w:rPr>
          <w:fldChar w:fldCharType="begin"/>
        </w:r>
        <w:r w:rsidR="001A76C8">
          <w:rPr>
            <w:webHidden/>
          </w:rPr>
          <w:instrText xml:space="preserve"> PAGEREF _Toc215054283 \h </w:instrText>
        </w:r>
        <w:r w:rsidR="001A76C8">
          <w:rPr>
            <w:webHidden/>
          </w:rPr>
        </w:r>
        <w:r w:rsidR="001A76C8">
          <w:rPr>
            <w:webHidden/>
          </w:rPr>
          <w:fldChar w:fldCharType="separate"/>
        </w:r>
        <w:r w:rsidR="00B72972">
          <w:rPr>
            <w:webHidden/>
          </w:rPr>
          <w:t>18</w:t>
        </w:r>
        <w:r w:rsidR="001A76C8">
          <w:rPr>
            <w:webHidden/>
          </w:rPr>
          <w:fldChar w:fldCharType="end"/>
        </w:r>
      </w:hyperlink>
    </w:p>
    <w:p w14:paraId="161205E1" w14:textId="50671DA2"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84" w:history="1">
        <w:r w:rsidR="001A76C8" w:rsidRPr="00A71DA2">
          <w:rPr>
            <w:rStyle w:val="Hyperlink"/>
          </w:rPr>
          <w:t>2.14</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Verhandlung über eingereichte Angebote</w:t>
        </w:r>
        <w:r w:rsidR="001A76C8">
          <w:rPr>
            <w:webHidden/>
          </w:rPr>
          <w:tab/>
        </w:r>
        <w:r w:rsidR="001A76C8">
          <w:rPr>
            <w:webHidden/>
          </w:rPr>
          <w:fldChar w:fldCharType="begin"/>
        </w:r>
        <w:r w:rsidR="001A76C8">
          <w:rPr>
            <w:webHidden/>
          </w:rPr>
          <w:instrText xml:space="preserve"> PAGEREF _Toc215054284 \h </w:instrText>
        </w:r>
        <w:r w:rsidR="001A76C8">
          <w:rPr>
            <w:webHidden/>
          </w:rPr>
        </w:r>
        <w:r w:rsidR="001A76C8">
          <w:rPr>
            <w:webHidden/>
          </w:rPr>
          <w:fldChar w:fldCharType="separate"/>
        </w:r>
        <w:r w:rsidR="00B72972">
          <w:rPr>
            <w:webHidden/>
          </w:rPr>
          <w:t>19</w:t>
        </w:r>
        <w:r w:rsidR="001A76C8">
          <w:rPr>
            <w:webHidden/>
          </w:rPr>
          <w:fldChar w:fldCharType="end"/>
        </w:r>
      </w:hyperlink>
    </w:p>
    <w:p w14:paraId="4C78437B" w14:textId="6285B1A6"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85" w:history="1">
        <w:r w:rsidR="001A76C8" w:rsidRPr="00A71DA2">
          <w:rPr>
            <w:rStyle w:val="Hyperlink"/>
          </w:rPr>
          <w:t>2.15</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Aufhebung des Vergabeverfahrens</w:t>
        </w:r>
        <w:r w:rsidR="001A76C8">
          <w:rPr>
            <w:webHidden/>
          </w:rPr>
          <w:tab/>
        </w:r>
        <w:r w:rsidR="001A76C8">
          <w:rPr>
            <w:webHidden/>
          </w:rPr>
          <w:fldChar w:fldCharType="begin"/>
        </w:r>
        <w:r w:rsidR="001A76C8">
          <w:rPr>
            <w:webHidden/>
          </w:rPr>
          <w:instrText xml:space="preserve"> PAGEREF _Toc215054285 \h </w:instrText>
        </w:r>
        <w:r w:rsidR="001A76C8">
          <w:rPr>
            <w:webHidden/>
          </w:rPr>
        </w:r>
        <w:r w:rsidR="001A76C8">
          <w:rPr>
            <w:webHidden/>
          </w:rPr>
          <w:fldChar w:fldCharType="separate"/>
        </w:r>
        <w:r w:rsidR="00B72972">
          <w:rPr>
            <w:webHidden/>
          </w:rPr>
          <w:t>19</w:t>
        </w:r>
        <w:r w:rsidR="001A76C8">
          <w:rPr>
            <w:webHidden/>
          </w:rPr>
          <w:fldChar w:fldCharType="end"/>
        </w:r>
      </w:hyperlink>
    </w:p>
    <w:p w14:paraId="3CC1AF1C" w14:textId="2F0AC7FC"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86" w:history="1">
        <w:r w:rsidR="001A76C8" w:rsidRPr="00A71DA2">
          <w:rPr>
            <w:rStyle w:val="Hyperlink"/>
          </w:rPr>
          <w:t>2.16</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Zuschlag</w:t>
        </w:r>
        <w:r w:rsidR="001A76C8">
          <w:rPr>
            <w:webHidden/>
          </w:rPr>
          <w:tab/>
        </w:r>
        <w:r w:rsidR="001A76C8">
          <w:rPr>
            <w:webHidden/>
          </w:rPr>
          <w:fldChar w:fldCharType="begin"/>
        </w:r>
        <w:r w:rsidR="001A76C8">
          <w:rPr>
            <w:webHidden/>
          </w:rPr>
          <w:instrText xml:space="preserve"> PAGEREF _Toc215054286 \h </w:instrText>
        </w:r>
        <w:r w:rsidR="001A76C8">
          <w:rPr>
            <w:webHidden/>
          </w:rPr>
        </w:r>
        <w:r w:rsidR="001A76C8">
          <w:rPr>
            <w:webHidden/>
          </w:rPr>
          <w:fldChar w:fldCharType="separate"/>
        </w:r>
        <w:r w:rsidR="00B72972">
          <w:rPr>
            <w:webHidden/>
          </w:rPr>
          <w:t>20</w:t>
        </w:r>
        <w:r w:rsidR="001A76C8">
          <w:rPr>
            <w:webHidden/>
          </w:rPr>
          <w:fldChar w:fldCharType="end"/>
        </w:r>
      </w:hyperlink>
    </w:p>
    <w:p w14:paraId="6D678E73" w14:textId="5C7E9786"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87" w:history="1">
        <w:r w:rsidR="001A76C8" w:rsidRPr="00A71DA2">
          <w:rPr>
            <w:rStyle w:val="Hyperlink"/>
          </w:rPr>
          <w:t>2.17</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Vergabestatistikmeldung</w:t>
        </w:r>
        <w:r w:rsidR="001A76C8">
          <w:rPr>
            <w:webHidden/>
          </w:rPr>
          <w:tab/>
        </w:r>
        <w:r w:rsidR="001A76C8">
          <w:rPr>
            <w:webHidden/>
          </w:rPr>
          <w:fldChar w:fldCharType="begin"/>
        </w:r>
        <w:r w:rsidR="001A76C8">
          <w:rPr>
            <w:webHidden/>
          </w:rPr>
          <w:instrText xml:space="preserve"> PAGEREF _Toc215054287 \h </w:instrText>
        </w:r>
        <w:r w:rsidR="001A76C8">
          <w:rPr>
            <w:webHidden/>
          </w:rPr>
        </w:r>
        <w:r w:rsidR="001A76C8">
          <w:rPr>
            <w:webHidden/>
          </w:rPr>
          <w:fldChar w:fldCharType="separate"/>
        </w:r>
        <w:r w:rsidR="00B72972">
          <w:rPr>
            <w:webHidden/>
          </w:rPr>
          <w:t>20</w:t>
        </w:r>
        <w:r w:rsidR="001A76C8">
          <w:rPr>
            <w:webHidden/>
          </w:rPr>
          <w:fldChar w:fldCharType="end"/>
        </w:r>
      </w:hyperlink>
    </w:p>
    <w:p w14:paraId="38D0C458" w14:textId="1A67012B"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88" w:history="1">
        <w:r w:rsidR="001A76C8" w:rsidRPr="00A71DA2">
          <w:rPr>
            <w:rStyle w:val="Hyperlink"/>
          </w:rPr>
          <w:t>2.18</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Dokumentation des Vergabeverfahrens</w:t>
        </w:r>
        <w:r w:rsidR="001A76C8">
          <w:rPr>
            <w:webHidden/>
          </w:rPr>
          <w:tab/>
        </w:r>
        <w:r w:rsidR="001A76C8">
          <w:rPr>
            <w:webHidden/>
          </w:rPr>
          <w:fldChar w:fldCharType="begin"/>
        </w:r>
        <w:r w:rsidR="001A76C8">
          <w:rPr>
            <w:webHidden/>
          </w:rPr>
          <w:instrText xml:space="preserve"> PAGEREF _Toc215054288 \h </w:instrText>
        </w:r>
        <w:r w:rsidR="001A76C8">
          <w:rPr>
            <w:webHidden/>
          </w:rPr>
        </w:r>
        <w:r w:rsidR="001A76C8">
          <w:rPr>
            <w:webHidden/>
          </w:rPr>
          <w:fldChar w:fldCharType="separate"/>
        </w:r>
        <w:r w:rsidR="00B72972">
          <w:rPr>
            <w:webHidden/>
          </w:rPr>
          <w:t>20</w:t>
        </w:r>
        <w:r w:rsidR="001A76C8">
          <w:rPr>
            <w:webHidden/>
          </w:rPr>
          <w:fldChar w:fldCharType="end"/>
        </w:r>
      </w:hyperlink>
    </w:p>
    <w:p w14:paraId="3C093378" w14:textId="4F78BB3C"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89" w:history="1">
        <w:r w:rsidR="001A76C8" w:rsidRPr="00A71DA2">
          <w:rPr>
            <w:rStyle w:val="Hyperlink"/>
          </w:rPr>
          <w:t>2.19</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Beteiligung der örtlichen Rechnungsprüfung (falls vorhanden)</w:t>
        </w:r>
        <w:r w:rsidR="001A76C8">
          <w:rPr>
            <w:webHidden/>
          </w:rPr>
          <w:tab/>
        </w:r>
        <w:r w:rsidR="001A76C8">
          <w:rPr>
            <w:webHidden/>
          </w:rPr>
          <w:fldChar w:fldCharType="begin"/>
        </w:r>
        <w:r w:rsidR="001A76C8">
          <w:rPr>
            <w:webHidden/>
          </w:rPr>
          <w:instrText xml:space="preserve"> PAGEREF _Toc215054289 \h </w:instrText>
        </w:r>
        <w:r w:rsidR="001A76C8">
          <w:rPr>
            <w:webHidden/>
          </w:rPr>
        </w:r>
        <w:r w:rsidR="001A76C8">
          <w:rPr>
            <w:webHidden/>
          </w:rPr>
          <w:fldChar w:fldCharType="separate"/>
        </w:r>
        <w:r w:rsidR="00B72972">
          <w:rPr>
            <w:webHidden/>
          </w:rPr>
          <w:t>21</w:t>
        </w:r>
        <w:r w:rsidR="001A76C8">
          <w:rPr>
            <w:webHidden/>
          </w:rPr>
          <w:fldChar w:fldCharType="end"/>
        </w:r>
      </w:hyperlink>
    </w:p>
    <w:p w14:paraId="480851B8" w14:textId="3D6DA62A"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90" w:history="1">
        <w:r w:rsidR="001A76C8" w:rsidRPr="00A71DA2">
          <w:rPr>
            <w:rStyle w:val="Hyperlink"/>
          </w:rPr>
          <w:t>2.20</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Auftragsänderungen und Nachträge</w:t>
        </w:r>
        <w:r w:rsidR="001A76C8">
          <w:rPr>
            <w:webHidden/>
          </w:rPr>
          <w:tab/>
        </w:r>
        <w:r w:rsidR="001A76C8">
          <w:rPr>
            <w:webHidden/>
          </w:rPr>
          <w:fldChar w:fldCharType="begin"/>
        </w:r>
        <w:r w:rsidR="001A76C8">
          <w:rPr>
            <w:webHidden/>
          </w:rPr>
          <w:instrText xml:space="preserve"> PAGEREF _Toc215054290 \h </w:instrText>
        </w:r>
        <w:r w:rsidR="001A76C8">
          <w:rPr>
            <w:webHidden/>
          </w:rPr>
        </w:r>
        <w:r w:rsidR="001A76C8">
          <w:rPr>
            <w:webHidden/>
          </w:rPr>
          <w:fldChar w:fldCharType="separate"/>
        </w:r>
        <w:r w:rsidR="00B72972">
          <w:rPr>
            <w:webHidden/>
          </w:rPr>
          <w:t>22</w:t>
        </w:r>
        <w:r w:rsidR="001A76C8">
          <w:rPr>
            <w:webHidden/>
          </w:rPr>
          <w:fldChar w:fldCharType="end"/>
        </w:r>
      </w:hyperlink>
    </w:p>
    <w:p w14:paraId="0233D27E" w14:textId="4DB8BF54"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91" w:history="1">
        <w:r w:rsidR="001A76C8" w:rsidRPr="00A71DA2">
          <w:rPr>
            <w:rStyle w:val="Hyperlink"/>
          </w:rPr>
          <w:t>2.21</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Abnahme</w:t>
        </w:r>
        <w:r w:rsidR="001A76C8">
          <w:rPr>
            <w:webHidden/>
          </w:rPr>
          <w:tab/>
        </w:r>
        <w:r w:rsidR="001A76C8">
          <w:rPr>
            <w:webHidden/>
          </w:rPr>
          <w:fldChar w:fldCharType="begin"/>
        </w:r>
        <w:r w:rsidR="001A76C8">
          <w:rPr>
            <w:webHidden/>
          </w:rPr>
          <w:instrText xml:space="preserve"> PAGEREF _Toc215054291 \h </w:instrText>
        </w:r>
        <w:r w:rsidR="001A76C8">
          <w:rPr>
            <w:webHidden/>
          </w:rPr>
        </w:r>
        <w:r w:rsidR="001A76C8">
          <w:rPr>
            <w:webHidden/>
          </w:rPr>
          <w:fldChar w:fldCharType="separate"/>
        </w:r>
        <w:r w:rsidR="00B72972">
          <w:rPr>
            <w:webHidden/>
          </w:rPr>
          <w:t>23</w:t>
        </w:r>
        <w:r w:rsidR="001A76C8">
          <w:rPr>
            <w:webHidden/>
          </w:rPr>
          <w:fldChar w:fldCharType="end"/>
        </w:r>
      </w:hyperlink>
    </w:p>
    <w:p w14:paraId="191EECAA" w14:textId="253A250B"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92" w:history="1">
        <w:r w:rsidR="001A76C8" w:rsidRPr="00A71DA2">
          <w:rPr>
            <w:rStyle w:val="Hyperlink"/>
          </w:rPr>
          <w:t>2.22</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Auftragsabrechnung</w:t>
        </w:r>
        <w:r w:rsidR="001A76C8">
          <w:rPr>
            <w:webHidden/>
          </w:rPr>
          <w:tab/>
        </w:r>
        <w:r w:rsidR="001A76C8">
          <w:rPr>
            <w:webHidden/>
          </w:rPr>
          <w:fldChar w:fldCharType="begin"/>
        </w:r>
        <w:r w:rsidR="001A76C8">
          <w:rPr>
            <w:webHidden/>
          </w:rPr>
          <w:instrText xml:space="preserve"> PAGEREF _Toc215054292 \h </w:instrText>
        </w:r>
        <w:r w:rsidR="001A76C8">
          <w:rPr>
            <w:webHidden/>
          </w:rPr>
        </w:r>
        <w:r w:rsidR="001A76C8">
          <w:rPr>
            <w:webHidden/>
          </w:rPr>
          <w:fldChar w:fldCharType="separate"/>
        </w:r>
        <w:r w:rsidR="00B72972">
          <w:rPr>
            <w:webHidden/>
          </w:rPr>
          <w:t>24</w:t>
        </w:r>
        <w:r w:rsidR="001A76C8">
          <w:rPr>
            <w:webHidden/>
          </w:rPr>
          <w:fldChar w:fldCharType="end"/>
        </w:r>
      </w:hyperlink>
    </w:p>
    <w:p w14:paraId="5269F4C6" w14:textId="57AAE5C7"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93" w:history="1">
        <w:r w:rsidR="001A76C8" w:rsidRPr="00A71DA2">
          <w:rPr>
            <w:rStyle w:val="Hyperlink"/>
          </w:rPr>
          <w:t>2.23</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Gewährleistung</w:t>
        </w:r>
        <w:r w:rsidR="001A76C8">
          <w:rPr>
            <w:webHidden/>
          </w:rPr>
          <w:tab/>
        </w:r>
        <w:r w:rsidR="001A76C8">
          <w:rPr>
            <w:webHidden/>
          </w:rPr>
          <w:fldChar w:fldCharType="begin"/>
        </w:r>
        <w:r w:rsidR="001A76C8">
          <w:rPr>
            <w:webHidden/>
          </w:rPr>
          <w:instrText xml:space="preserve"> PAGEREF _Toc215054293 \h </w:instrText>
        </w:r>
        <w:r w:rsidR="001A76C8">
          <w:rPr>
            <w:webHidden/>
          </w:rPr>
        </w:r>
        <w:r w:rsidR="001A76C8">
          <w:rPr>
            <w:webHidden/>
          </w:rPr>
          <w:fldChar w:fldCharType="separate"/>
        </w:r>
        <w:r w:rsidR="00B72972">
          <w:rPr>
            <w:webHidden/>
          </w:rPr>
          <w:t>24</w:t>
        </w:r>
        <w:r w:rsidR="001A76C8">
          <w:rPr>
            <w:webHidden/>
          </w:rPr>
          <w:fldChar w:fldCharType="end"/>
        </w:r>
      </w:hyperlink>
    </w:p>
    <w:p w14:paraId="45E0378E" w14:textId="2BBDA2FD"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94" w:history="1">
        <w:r w:rsidR="001A76C8" w:rsidRPr="00A71DA2">
          <w:rPr>
            <w:rStyle w:val="Hyperlink"/>
          </w:rPr>
          <w:t>2.24</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Geheimhaltung und Datenschutz</w:t>
        </w:r>
        <w:r w:rsidR="001A76C8">
          <w:rPr>
            <w:webHidden/>
          </w:rPr>
          <w:tab/>
        </w:r>
        <w:r w:rsidR="001A76C8">
          <w:rPr>
            <w:webHidden/>
          </w:rPr>
          <w:fldChar w:fldCharType="begin"/>
        </w:r>
        <w:r w:rsidR="001A76C8">
          <w:rPr>
            <w:webHidden/>
          </w:rPr>
          <w:instrText xml:space="preserve"> PAGEREF _Toc215054294 \h </w:instrText>
        </w:r>
        <w:r w:rsidR="001A76C8">
          <w:rPr>
            <w:webHidden/>
          </w:rPr>
        </w:r>
        <w:r w:rsidR="001A76C8">
          <w:rPr>
            <w:webHidden/>
          </w:rPr>
          <w:fldChar w:fldCharType="separate"/>
        </w:r>
        <w:r w:rsidR="00B72972">
          <w:rPr>
            <w:webHidden/>
          </w:rPr>
          <w:t>24</w:t>
        </w:r>
        <w:r w:rsidR="001A76C8">
          <w:rPr>
            <w:webHidden/>
          </w:rPr>
          <w:fldChar w:fldCharType="end"/>
        </w:r>
      </w:hyperlink>
    </w:p>
    <w:p w14:paraId="45C02471" w14:textId="3A21F668"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95" w:history="1">
        <w:r w:rsidR="001A76C8" w:rsidRPr="00A71DA2">
          <w:rPr>
            <w:rStyle w:val="Hyperlink"/>
          </w:rPr>
          <w:t>2.25</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Rechtliche Wirkung</w:t>
        </w:r>
        <w:r w:rsidR="001A76C8">
          <w:rPr>
            <w:webHidden/>
          </w:rPr>
          <w:tab/>
        </w:r>
        <w:r w:rsidR="001A76C8">
          <w:rPr>
            <w:webHidden/>
          </w:rPr>
          <w:fldChar w:fldCharType="begin"/>
        </w:r>
        <w:r w:rsidR="001A76C8">
          <w:rPr>
            <w:webHidden/>
          </w:rPr>
          <w:instrText xml:space="preserve"> PAGEREF _Toc215054295 \h </w:instrText>
        </w:r>
        <w:r w:rsidR="001A76C8">
          <w:rPr>
            <w:webHidden/>
          </w:rPr>
        </w:r>
        <w:r w:rsidR="001A76C8">
          <w:rPr>
            <w:webHidden/>
          </w:rPr>
          <w:fldChar w:fldCharType="separate"/>
        </w:r>
        <w:r w:rsidR="00B72972">
          <w:rPr>
            <w:webHidden/>
          </w:rPr>
          <w:t>25</w:t>
        </w:r>
        <w:r w:rsidR="001A76C8">
          <w:rPr>
            <w:webHidden/>
          </w:rPr>
          <w:fldChar w:fldCharType="end"/>
        </w:r>
      </w:hyperlink>
    </w:p>
    <w:p w14:paraId="7742E56E" w14:textId="6FAB0DE1"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96" w:history="1">
        <w:r w:rsidR="001A76C8" w:rsidRPr="00A71DA2">
          <w:rPr>
            <w:rStyle w:val="Hyperlink"/>
          </w:rPr>
          <w:t>2.26</w:t>
        </w:r>
        <w:r w:rsidR="001A76C8">
          <w:rPr>
            <w:rFonts w:asciiTheme="minorHAnsi" w:eastAsiaTheme="minorEastAsia" w:hAnsiTheme="minorHAnsi"/>
            <w:kern w:val="2"/>
            <w:sz w:val="24"/>
            <w:szCs w:val="24"/>
            <w:lang w:eastAsia="de-DE"/>
            <w14:ligatures w14:val="standardContextual"/>
          </w:rPr>
          <w:tab/>
        </w:r>
        <w:r w:rsidR="001A76C8" w:rsidRPr="00A71DA2">
          <w:rPr>
            <w:rStyle w:val="Hyperlink"/>
          </w:rPr>
          <w:t>In Kraft treten</w:t>
        </w:r>
        <w:r w:rsidR="001A76C8">
          <w:rPr>
            <w:webHidden/>
          </w:rPr>
          <w:tab/>
        </w:r>
        <w:r w:rsidR="001A76C8">
          <w:rPr>
            <w:webHidden/>
          </w:rPr>
          <w:fldChar w:fldCharType="begin"/>
        </w:r>
        <w:r w:rsidR="001A76C8">
          <w:rPr>
            <w:webHidden/>
          </w:rPr>
          <w:instrText xml:space="preserve"> PAGEREF _Toc215054296 \h </w:instrText>
        </w:r>
        <w:r w:rsidR="001A76C8">
          <w:rPr>
            <w:webHidden/>
          </w:rPr>
        </w:r>
        <w:r w:rsidR="001A76C8">
          <w:rPr>
            <w:webHidden/>
          </w:rPr>
          <w:fldChar w:fldCharType="separate"/>
        </w:r>
        <w:r w:rsidR="00B72972">
          <w:rPr>
            <w:webHidden/>
          </w:rPr>
          <w:t>25</w:t>
        </w:r>
        <w:r w:rsidR="001A76C8">
          <w:rPr>
            <w:webHidden/>
          </w:rPr>
          <w:fldChar w:fldCharType="end"/>
        </w:r>
      </w:hyperlink>
    </w:p>
    <w:p w14:paraId="5C6899C1" w14:textId="0ED891BD"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97" w:history="1">
        <w:r w:rsidR="001A76C8" w:rsidRPr="00A71DA2">
          <w:rPr>
            <w:rStyle w:val="Hyperlink"/>
          </w:rPr>
          <w:t>Anlage 1: Abkürzungsverzeichnis</w:t>
        </w:r>
        <w:r w:rsidR="001A76C8">
          <w:rPr>
            <w:webHidden/>
          </w:rPr>
          <w:tab/>
        </w:r>
        <w:r w:rsidR="001A76C8">
          <w:rPr>
            <w:webHidden/>
          </w:rPr>
          <w:fldChar w:fldCharType="begin"/>
        </w:r>
        <w:r w:rsidR="001A76C8">
          <w:rPr>
            <w:webHidden/>
          </w:rPr>
          <w:instrText xml:space="preserve"> PAGEREF _Toc215054297 \h </w:instrText>
        </w:r>
        <w:r w:rsidR="001A76C8">
          <w:rPr>
            <w:webHidden/>
          </w:rPr>
        </w:r>
        <w:r w:rsidR="001A76C8">
          <w:rPr>
            <w:webHidden/>
          </w:rPr>
          <w:fldChar w:fldCharType="separate"/>
        </w:r>
        <w:r w:rsidR="00B72972">
          <w:rPr>
            <w:webHidden/>
          </w:rPr>
          <w:t>26</w:t>
        </w:r>
        <w:r w:rsidR="001A76C8">
          <w:rPr>
            <w:webHidden/>
          </w:rPr>
          <w:fldChar w:fldCharType="end"/>
        </w:r>
      </w:hyperlink>
    </w:p>
    <w:p w14:paraId="33DF776D" w14:textId="4A52F31E"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98" w:history="1">
        <w:r w:rsidR="001A76C8" w:rsidRPr="00A71DA2">
          <w:rPr>
            <w:rStyle w:val="Hyperlink"/>
          </w:rPr>
          <w:t>Anlage 2: Wertgrenzentabelle</w:t>
        </w:r>
        <w:r w:rsidR="001A76C8">
          <w:rPr>
            <w:webHidden/>
          </w:rPr>
          <w:tab/>
        </w:r>
        <w:r w:rsidR="001A76C8">
          <w:rPr>
            <w:webHidden/>
          </w:rPr>
          <w:fldChar w:fldCharType="begin"/>
        </w:r>
        <w:r w:rsidR="001A76C8">
          <w:rPr>
            <w:webHidden/>
          </w:rPr>
          <w:instrText xml:space="preserve"> PAGEREF _Toc215054298 \h </w:instrText>
        </w:r>
        <w:r w:rsidR="001A76C8">
          <w:rPr>
            <w:webHidden/>
          </w:rPr>
        </w:r>
        <w:r w:rsidR="001A76C8">
          <w:rPr>
            <w:webHidden/>
          </w:rPr>
          <w:fldChar w:fldCharType="separate"/>
        </w:r>
        <w:r w:rsidR="00B72972">
          <w:rPr>
            <w:webHidden/>
          </w:rPr>
          <w:t>27</w:t>
        </w:r>
        <w:r w:rsidR="001A76C8">
          <w:rPr>
            <w:webHidden/>
          </w:rPr>
          <w:fldChar w:fldCharType="end"/>
        </w:r>
      </w:hyperlink>
    </w:p>
    <w:p w14:paraId="1EF5632C" w14:textId="6B9A69F9"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299" w:history="1">
        <w:r w:rsidR="001A76C8" w:rsidRPr="00A71DA2">
          <w:rPr>
            <w:rStyle w:val="Hyperlink"/>
          </w:rPr>
          <w:t>Anlage 3: Prozessablaufdarstellungen</w:t>
        </w:r>
        <w:r w:rsidR="001A76C8">
          <w:rPr>
            <w:webHidden/>
          </w:rPr>
          <w:tab/>
        </w:r>
        <w:r w:rsidR="001A76C8">
          <w:rPr>
            <w:webHidden/>
          </w:rPr>
          <w:fldChar w:fldCharType="begin"/>
        </w:r>
        <w:r w:rsidR="001A76C8">
          <w:rPr>
            <w:webHidden/>
          </w:rPr>
          <w:instrText xml:space="preserve"> PAGEREF _Toc215054299 \h </w:instrText>
        </w:r>
        <w:r w:rsidR="001A76C8">
          <w:rPr>
            <w:webHidden/>
          </w:rPr>
        </w:r>
        <w:r w:rsidR="001A76C8">
          <w:rPr>
            <w:webHidden/>
          </w:rPr>
          <w:fldChar w:fldCharType="separate"/>
        </w:r>
        <w:r w:rsidR="00B72972">
          <w:rPr>
            <w:webHidden/>
          </w:rPr>
          <w:t>28</w:t>
        </w:r>
        <w:r w:rsidR="001A76C8">
          <w:rPr>
            <w:webHidden/>
          </w:rPr>
          <w:fldChar w:fldCharType="end"/>
        </w:r>
      </w:hyperlink>
    </w:p>
    <w:p w14:paraId="46EA48E7" w14:textId="44CA0044" w:rsidR="001A76C8" w:rsidRDefault="000C15E6">
      <w:pPr>
        <w:pStyle w:val="Verzeichnis2"/>
        <w:rPr>
          <w:rFonts w:asciiTheme="minorHAnsi" w:eastAsiaTheme="minorEastAsia" w:hAnsiTheme="minorHAnsi"/>
          <w:kern w:val="2"/>
          <w:sz w:val="24"/>
          <w:szCs w:val="24"/>
          <w:lang w:eastAsia="de-DE"/>
          <w14:ligatures w14:val="standardContextual"/>
        </w:rPr>
      </w:pPr>
      <w:hyperlink w:anchor="_Toc215054300" w:history="1">
        <w:r w:rsidR="001A76C8" w:rsidRPr="00A71DA2">
          <w:rPr>
            <w:rStyle w:val="Hyperlink"/>
          </w:rPr>
          <w:t>Anlage 4: Verweise zur FAQ-Liste „Kommunale Vergaben im Land Nordrhein-Westfalen“ ab dem 01.01.2026 des MHKBD (Stand 08. Oktober, Version 1.0)</w:t>
        </w:r>
        <w:r w:rsidR="001A76C8">
          <w:rPr>
            <w:webHidden/>
          </w:rPr>
          <w:tab/>
        </w:r>
        <w:r w:rsidR="001A76C8">
          <w:rPr>
            <w:webHidden/>
          </w:rPr>
          <w:fldChar w:fldCharType="begin"/>
        </w:r>
        <w:r w:rsidR="001A76C8">
          <w:rPr>
            <w:webHidden/>
          </w:rPr>
          <w:instrText xml:space="preserve"> PAGEREF _Toc215054300 \h </w:instrText>
        </w:r>
        <w:r w:rsidR="001A76C8">
          <w:rPr>
            <w:webHidden/>
          </w:rPr>
        </w:r>
        <w:r w:rsidR="001A76C8">
          <w:rPr>
            <w:webHidden/>
          </w:rPr>
          <w:fldChar w:fldCharType="separate"/>
        </w:r>
        <w:r w:rsidR="00B72972">
          <w:rPr>
            <w:webHidden/>
          </w:rPr>
          <w:t>33</w:t>
        </w:r>
        <w:r w:rsidR="001A76C8">
          <w:rPr>
            <w:webHidden/>
          </w:rPr>
          <w:fldChar w:fldCharType="end"/>
        </w:r>
      </w:hyperlink>
    </w:p>
    <w:p w14:paraId="1C497897" w14:textId="24FBAF6B" w:rsidR="00EC5200" w:rsidRDefault="00772E22" w:rsidP="00EC5200">
      <w:pPr>
        <w:pStyle w:val="Verzeichnis1"/>
      </w:pPr>
      <w:r>
        <w:fldChar w:fldCharType="end"/>
      </w:r>
      <w:r w:rsidR="00EC5200" w:rsidRPr="00E32E5A">
        <w:br w:type="page"/>
      </w:r>
    </w:p>
    <w:p w14:paraId="43153723" w14:textId="537362BA" w:rsidR="006C5447" w:rsidRDefault="000D27FB" w:rsidP="00772E22">
      <w:pPr>
        <w:pStyle w:val="berschrift1"/>
      </w:pPr>
      <w:bookmarkStart w:id="2" w:name="_Toc215054269"/>
      <w:r>
        <w:lastRenderedPageBreak/>
        <w:t>Vorbemerkungen</w:t>
      </w:r>
      <w:bookmarkEnd w:id="2"/>
    </w:p>
    <w:p w14:paraId="40CB13CE" w14:textId="77777777" w:rsidR="000D27FB" w:rsidRDefault="000D27FB" w:rsidP="000D27FB">
      <w:pPr>
        <w:pStyle w:val="Flietext"/>
      </w:pPr>
      <w:r>
        <w:t xml:space="preserve">Die </w:t>
      </w:r>
      <w:r>
        <w:rPr>
          <w:color w:val="00B0F0"/>
        </w:rPr>
        <w:t xml:space="preserve">&lt;&lt;Musterkommune&gt;&gt; </w:t>
      </w:r>
      <w:r>
        <w:t xml:space="preserve">hat als öffentliche Auftraggeberin bzw. Auftraggeber bei der Beschaffung von Liefer-, Dienst- und Bauleistungen sowie bei der Erteilung von Konzessionen die einschlägigen Vorschriften des Haushalts- und Vergabewesens zu beachten. Die damit verbundene Formstrenge soll eine bestmögliche Rechts- und Verfahrenssicherheit für Vergaben bei der </w:t>
      </w:r>
      <w:r>
        <w:rPr>
          <w:color w:val="00B0F0"/>
        </w:rPr>
        <w:t xml:space="preserve">&lt;&lt;Musterkommune&gt;&gt; </w:t>
      </w:r>
      <w:r>
        <w:t>gewährleisten.</w:t>
      </w:r>
    </w:p>
    <w:p w14:paraId="49C39D5A" w14:textId="79677D50" w:rsidR="000D27FB" w:rsidRDefault="000D27FB" w:rsidP="000D27FB">
      <w:pPr>
        <w:pStyle w:val="Flietext"/>
      </w:pPr>
      <w:r>
        <w:t>Gemäß § 2 i</w:t>
      </w:r>
      <w:r w:rsidR="00F73E79">
        <w:t xml:space="preserve">. </w:t>
      </w:r>
      <w:r>
        <w:t>V</w:t>
      </w:r>
      <w:r w:rsidR="00F73E79">
        <w:t xml:space="preserve">. </w:t>
      </w:r>
      <w:r>
        <w:t>m. § 4 LGG haben die Verwaltungen der Gemeinden und Gemeindeverbände die sprachliche Gleichbehandlung von Frauen und Männern zu beachten. Wir verwenden daher in dieser Dienstanweisung geschlechtsneutrale Personenbezeichnungen. Sofern es diese im Einzelfall nicht gibt, verwenden wir die weibliche und die männliche Sprachform.</w:t>
      </w:r>
    </w:p>
    <w:p w14:paraId="70786587" w14:textId="77777777" w:rsidR="000D27FB" w:rsidRDefault="000D27FB" w:rsidP="000D27FB">
      <w:pPr>
        <w:pStyle w:val="Flietext"/>
      </w:pPr>
      <w:r>
        <w:t xml:space="preserve">Diese Dienstanweisung soll sicherstellen, dass alle Vergabeverfahren bei der </w:t>
      </w:r>
      <w:r>
        <w:rPr>
          <w:color w:val="00B0F0"/>
        </w:rPr>
        <w:t xml:space="preserve">&lt;&lt;Musterkommune&gt;&gt; </w:t>
      </w:r>
      <w:r>
        <w:t>rechtmäßig und einheitlich, diskriminierungsfrei, transparent und im Sinne einer wirtschaftlichen und sparsamen Haushaltsführung sowie entsprechend den vergaberechtlichen Grundlagen abgewickelt werden. Sie soll Bewerbende und Bietende vor wettbewerbsverfälschenden Manipulationen und die Auftraggebenden vor ungerechtfertigten Vorhaltungen der Bietenden schützen und insbesondere auch der Korruptionsbekämpfung dienen.</w:t>
      </w:r>
    </w:p>
    <w:p w14:paraId="55DBD218" w14:textId="4808F037" w:rsidR="000D27FB" w:rsidRPr="000D27FB" w:rsidRDefault="000D27FB" w:rsidP="000D27FB">
      <w:pPr>
        <w:pStyle w:val="Flietext"/>
      </w:pPr>
      <w:r w:rsidRPr="000D27FB">
        <w:t>Diese Dienstanweisung soll keine Wiederholung normierter Vergabe- und Verfahrensregeln sein. Vielmehr sind die organisationsinternen Vorgaben Gegenstand dieser Dienstanweisung. Zudem enthält diese Dienstanweisung Regelungen, die insbesondere zum Vergabeverständnis der an der Vergabe Beteiligten ergänzend zu den gesetzlichen Vorschriften hilfreich sind.</w:t>
      </w:r>
      <w:r w:rsidR="0002784D">
        <w:rPr>
          <w:rStyle w:val="Funotenzeichen"/>
        </w:rPr>
        <w:footnoteReference w:id="1"/>
      </w:r>
    </w:p>
    <w:p w14:paraId="6D17CBD7" w14:textId="77777777" w:rsidR="000D27FB" w:rsidRDefault="000D27FB" w:rsidP="000D27FB">
      <w:pPr>
        <w:pStyle w:val="Flietext"/>
      </w:pPr>
      <w:r>
        <w:t xml:space="preserve">Die in dieser Dienstanweisung genannten Wertgrenzen oder Schwellenwerte verstehen sich als </w:t>
      </w:r>
      <w:r>
        <w:rPr>
          <w:b/>
        </w:rPr>
        <w:t>Netto-Beträge</w:t>
      </w:r>
      <w:r>
        <w:t>.</w:t>
      </w:r>
    </w:p>
    <w:p w14:paraId="1C5EF870" w14:textId="026DAB3F" w:rsidR="000D27FB" w:rsidRDefault="000D27FB">
      <w:pPr>
        <w:spacing w:before="0" w:line="276" w:lineRule="auto"/>
      </w:pPr>
      <w:r>
        <w:br w:type="page"/>
      </w:r>
    </w:p>
    <w:p w14:paraId="13AFE9E9" w14:textId="3A9B60EF" w:rsidR="00772E22" w:rsidRDefault="00772E22" w:rsidP="00772E22">
      <w:pPr>
        <w:pStyle w:val="berschrift1"/>
      </w:pPr>
      <w:bookmarkStart w:id="3" w:name="_Toc215054270"/>
      <w:r>
        <w:lastRenderedPageBreak/>
        <w:t>Vergaberechtliche Regelungen</w:t>
      </w:r>
      <w:bookmarkEnd w:id="3"/>
    </w:p>
    <w:p w14:paraId="57AE908C" w14:textId="2493C0EF" w:rsidR="000D27FB" w:rsidRPr="0002784D" w:rsidRDefault="000D27FB" w:rsidP="0002784D">
      <w:pPr>
        <w:pStyle w:val="berschrift2"/>
      </w:pPr>
      <w:bookmarkStart w:id="4" w:name="_Toc215054271"/>
      <w:r w:rsidRPr="0002784D">
        <w:t>Geltungsbereich</w:t>
      </w:r>
      <w:bookmarkEnd w:id="4"/>
    </w:p>
    <w:p w14:paraId="3101626E" w14:textId="77777777" w:rsidR="000D27FB" w:rsidRDefault="000D27FB" w:rsidP="000D27FB">
      <w:pPr>
        <w:pStyle w:val="Flietext"/>
      </w:pPr>
      <w:r>
        <w:t xml:space="preserve">Die Dienstanweisung ist für alle Organisationseinheiten der </w:t>
      </w:r>
      <w:r w:rsidRPr="00160893">
        <w:rPr>
          <w:color w:val="00B0F0"/>
        </w:rPr>
        <w:t xml:space="preserve">&lt;&lt;Musterkommune&gt;&gt; </w:t>
      </w:r>
      <w:r>
        <w:t>eine verbindliche Handlungsgrundlage und gilt für alle Liefer-, Dienst</w:t>
      </w:r>
      <w:r w:rsidRPr="00CD3F26">
        <w:rPr>
          <w:vertAlign w:val="superscript"/>
        </w:rPr>
        <w:footnoteReference w:id="2"/>
      </w:r>
      <w:r>
        <w:t xml:space="preserve">- und Bauleistungen sowie für die Erteilung von Konzessionen, die die </w:t>
      </w:r>
      <w:r w:rsidRPr="00C82F37">
        <w:rPr>
          <w:color w:val="00B0F0"/>
        </w:rPr>
        <w:t xml:space="preserve">&lt;&lt;Musterkommune&gt;&gt; </w:t>
      </w:r>
      <w:r>
        <w:t>vergibt.</w:t>
      </w:r>
    </w:p>
    <w:p w14:paraId="3CCCE73D" w14:textId="77777777" w:rsidR="000D27FB" w:rsidRDefault="000D27FB" w:rsidP="000D27FB">
      <w:pPr>
        <w:pStyle w:val="Flietext"/>
      </w:pPr>
    </w:p>
    <w:tbl>
      <w:tblPr>
        <w:tblStyle w:val="Tabelle"/>
        <w:tblW w:w="5000" w:type="pct"/>
        <w:tblInd w:w="0" w:type="dxa"/>
        <w:tblCellMar>
          <w:top w:w="0" w:type="dxa"/>
          <w:left w:w="0" w:type="dxa"/>
          <w:bottom w:w="0" w:type="dxa"/>
          <w:right w:w="0" w:type="dxa"/>
        </w:tblCellMar>
        <w:tblLook w:val="0600" w:firstRow="0" w:lastRow="0" w:firstColumn="0" w:lastColumn="0" w:noHBand="1" w:noVBand="1"/>
      </w:tblPr>
      <w:tblGrid>
        <w:gridCol w:w="8504"/>
      </w:tblGrid>
      <w:tr w:rsidR="000D27FB" w14:paraId="53B12FA6" w14:textId="77777777" w:rsidTr="005A6AFE">
        <w:tc>
          <w:tcPr>
            <w:tcW w:w="8494" w:type="dxa"/>
            <w:tcBorders>
              <w:top w:val="nil"/>
              <w:left w:val="nil"/>
              <w:bottom w:val="nil"/>
              <w:right w:val="nil"/>
            </w:tcBorders>
            <w:shd w:val="clear" w:color="auto" w:fill="DCE3E7"/>
            <w:vAlign w:val="top"/>
          </w:tcPr>
          <w:p w14:paraId="2B52E8EA" w14:textId="77777777" w:rsidR="0053350A" w:rsidRPr="0053350A" w:rsidRDefault="0053350A" w:rsidP="0053350A">
            <w:pPr>
              <w:pStyle w:val="Feststellungqualifiziert"/>
              <w:numPr>
                <w:ilvl w:val="0"/>
                <w:numId w:val="0"/>
              </w:numPr>
              <w:ind w:left="641"/>
            </w:pPr>
          </w:p>
          <w:p w14:paraId="2905844C" w14:textId="0F58264D" w:rsidR="000D27FB" w:rsidRPr="0053350A" w:rsidRDefault="0002784D" w:rsidP="00461853">
            <w:pPr>
              <w:pStyle w:val="Feststellungqualifiziert"/>
              <w:tabs>
                <w:tab w:val="clear" w:pos="567"/>
              </w:tabs>
              <w:ind w:right="283"/>
              <w:rPr>
                <w:i/>
              </w:rPr>
            </w:pPr>
            <w:r w:rsidRPr="0053350A">
              <w:rPr>
                <w:i/>
              </w:rPr>
              <w:t>Im Interesse</w:t>
            </w:r>
            <w:r w:rsidRPr="0053350A">
              <w:rPr>
                <w:b/>
                <w:bCs/>
                <w:i/>
              </w:rPr>
              <w:t xml:space="preserve"> </w:t>
            </w:r>
            <w:r w:rsidRPr="0053350A">
              <w:rPr>
                <w:i/>
              </w:rPr>
              <w:t xml:space="preserve">einer einheitlichen Verwaltungsführung kann der Geltungsbereich dieser Dienstanweisung gemäß § 6 Abs. 2 </w:t>
            </w:r>
            <w:proofErr w:type="spellStart"/>
            <w:r w:rsidRPr="0053350A">
              <w:rPr>
                <w:i/>
              </w:rPr>
              <w:t>EigVO</w:t>
            </w:r>
            <w:proofErr w:type="spellEnd"/>
            <w:r w:rsidRPr="0053350A">
              <w:rPr>
                <w:i/>
              </w:rPr>
              <w:t xml:space="preserve"> NRW auch die eigenbetriebsähnlichen Einrichtungen nach § 107 Abs. 2 GO NRW einschließen.</w:t>
            </w:r>
            <w:r w:rsidR="0053350A" w:rsidRPr="0053350A">
              <w:rPr>
                <w:i/>
              </w:rPr>
              <w:br/>
            </w:r>
            <w:r w:rsidRPr="0053350A">
              <w:rPr>
                <w:i/>
              </w:rPr>
              <w:t>Sollte eine entsprechende Regelung beabsichtigt sein, ist dies unter Ziffer 1 zu ergänzen.</w:t>
            </w:r>
          </w:p>
        </w:tc>
      </w:tr>
    </w:tbl>
    <w:p w14:paraId="4F7DDD8D" w14:textId="334DD01E" w:rsidR="000D27FB" w:rsidRDefault="0002784D" w:rsidP="0002784D">
      <w:pPr>
        <w:pStyle w:val="berschrift2"/>
      </w:pPr>
      <w:bookmarkStart w:id="5" w:name="_Toc215054272"/>
      <w:r>
        <w:t>Wahl des anzuwendenden Vergaberechts</w:t>
      </w:r>
      <w:bookmarkEnd w:id="5"/>
    </w:p>
    <w:p w14:paraId="4881C3BD" w14:textId="79956AA3" w:rsidR="0002784D" w:rsidRDefault="0002784D" w:rsidP="0002784D">
      <w:pPr>
        <w:pStyle w:val="Flietext"/>
      </w:pPr>
      <w:r>
        <w:t>Das anzuwendende Vergaberecht richtet sich nach dem Gegenstand der Beschaffung und der Auftragswertschätzung.</w:t>
      </w:r>
    </w:p>
    <w:p w14:paraId="6B73EBC1" w14:textId="405200CC" w:rsidR="0002784D" w:rsidRDefault="0002784D" w:rsidP="0002784D">
      <w:pPr>
        <w:pStyle w:val="Flietext"/>
      </w:pPr>
      <w:r>
        <w:t>Bei der Vergabe wird hinsichtlich des anzuwendenden Vergaberechts zwischen</w:t>
      </w:r>
    </w:p>
    <w:p w14:paraId="20677846" w14:textId="101E924B" w:rsidR="0002784D" w:rsidRDefault="0002784D" w:rsidP="0002784D">
      <w:pPr>
        <w:pStyle w:val="FlietextAufzhlung"/>
      </w:pPr>
      <w:r>
        <w:t>Lieferleistungen,</w:t>
      </w:r>
    </w:p>
    <w:p w14:paraId="28A158BE" w14:textId="6183750B" w:rsidR="0002784D" w:rsidRDefault="0002784D" w:rsidP="0002784D">
      <w:pPr>
        <w:pStyle w:val="FlietextAufzhlung"/>
      </w:pPr>
      <w:r>
        <w:t>Dienstleistungen,</w:t>
      </w:r>
    </w:p>
    <w:p w14:paraId="0D8209A9" w14:textId="77777777" w:rsidR="0002784D" w:rsidRDefault="0002784D" w:rsidP="0002784D">
      <w:pPr>
        <w:pStyle w:val="FlietextAufzhlung"/>
      </w:pPr>
      <w:r>
        <w:t>sozialen und anderen besonderen Dienstleistungen,</w:t>
      </w:r>
    </w:p>
    <w:p w14:paraId="039D0CF9" w14:textId="6E75572E" w:rsidR="0002784D" w:rsidRDefault="0002784D" w:rsidP="0002784D">
      <w:pPr>
        <w:pStyle w:val="FlietextAufzhlung"/>
      </w:pPr>
      <w:r>
        <w:t>freiberuflichen Leistungen</w:t>
      </w:r>
      <w:r>
        <w:rPr>
          <w:rStyle w:val="Funotenzeichen"/>
        </w:rPr>
        <w:footnoteReference w:id="3"/>
      </w:r>
      <w:r>
        <w:t xml:space="preserve"> und</w:t>
      </w:r>
    </w:p>
    <w:p w14:paraId="37DB8458" w14:textId="3518BF34" w:rsidR="0002784D" w:rsidRDefault="0002784D" w:rsidP="0002784D">
      <w:pPr>
        <w:pStyle w:val="FlietextAufzhlung"/>
      </w:pPr>
      <w:r>
        <w:t xml:space="preserve">Bauleistungen </w:t>
      </w:r>
    </w:p>
    <w:p w14:paraId="76FBB36A" w14:textId="137E46F8" w:rsidR="0002784D" w:rsidRDefault="0002784D" w:rsidP="0002784D">
      <w:pPr>
        <w:pStyle w:val="FlietextAufzhlung"/>
        <w:numPr>
          <w:ilvl w:val="0"/>
          <w:numId w:val="0"/>
        </w:numPr>
      </w:pPr>
      <w:r>
        <w:t>unterschieden.</w:t>
      </w:r>
    </w:p>
    <w:p w14:paraId="3453AFB3" w14:textId="2F3C7453" w:rsidR="0002784D" w:rsidRDefault="0002784D" w:rsidP="0002784D">
      <w:pPr>
        <w:pStyle w:val="Flietext"/>
      </w:pPr>
      <w:r>
        <w:t xml:space="preserve">Auf Grundlage der Auftragswertschätzung wird festgelegt, ob die Ausschreibung EU-weit oder national zu erfolgen hat. Die Wertgrenzen für ein europaweites oder nationales Vergabeverfahren sind in der Anlage </w:t>
      </w:r>
      <w:r w:rsidR="008E6F80">
        <w:t>2</w:t>
      </w:r>
      <w:r>
        <w:t xml:space="preserve"> aufgeführt.</w:t>
      </w:r>
    </w:p>
    <w:p w14:paraId="79538BAB" w14:textId="051F3379" w:rsidR="0002784D" w:rsidRDefault="0002784D" w:rsidP="0002784D">
      <w:pPr>
        <w:pStyle w:val="Flietext"/>
      </w:pPr>
      <w:r>
        <w:lastRenderedPageBreak/>
        <w:t xml:space="preserve">Wenn der geschätzte Nettowert eines Loses bei Liefer- und Dienstleistungen unter 80 000 Euro und bei Bauleistungen unter 1 Million Euro liegt und die Summe der Nettowerte dieser Lose 20 Prozent des Gesamtwertes aller Lose nicht übersteigt, können diese Bagatelllose gemäß § 3 Abs. 9 VgV von der Anwendungspflicht des EU-Vergaberechts ausgenommen sein, obwohl der Gesamtauftragswert die EU-Schwellenwerte überschreitet (sog. 80/20-Regel). In diesem Fall ist für die Bagatelllose § 75a Absatz 1 GO NRW anwendbar (vgl. dazu </w:t>
      </w:r>
      <w:r w:rsidRPr="00943402">
        <w:t xml:space="preserve">auch </w:t>
      </w:r>
      <w:bookmarkStart w:id="6" w:name="Regel80_20_S"/>
      <w:r w:rsidR="00943402" w:rsidRPr="00943402">
        <w:fldChar w:fldCharType="begin"/>
      </w:r>
      <w:r w:rsidR="00522492">
        <w:instrText>HYPERLINK  \l "Regel80_20_FAQ"</w:instrText>
      </w:r>
      <w:r w:rsidR="00943402" w:rsidRPr="00943402">
        <w:fldChar w:fldCharType="separate"/>
      </w:r>
      <w:r w:rsidR="00B65305" w:rsidRPr="00943402">
        <w:rPr>
          <w:rStyle w:val="Hyperlink"/>
        </w:rPr>
        <w:t>Anlage 4</w:t>
      </w:r>
      <w:r w:rsidR="00943402" w:rsidRPr="00943402">
        <w:fldChar w:fldCharType="end"/>
      </w:r>
      <w:bookmarkEnd w:id="6"/>
      <w:r w:rsidR="00B65305" w:rsidRPr="00943402">
        <w:t>).</w:t>
      </w:r>
    </w:p>
    <w:p w14:paraId="48A863AD" w14:textId="6AB14A77" w:rsidR="0002784D" w:rsidRDefault="00B65305" w:rsidP="00B65305">
      <w:pPr>
        <w:pStyle w:val="berschrift2"/>
      </w:pPr>
      <w:bookmarkStart w:id="7" w:name="_Toc215054273"/>
      <w:r>
        <w:t>EU-Schwellenwerte</w:t>
      </w:r>
      <w:bookmarkEnd w:id="7"/>
    </w:p>
    <w:p w14:paraId="5D9AC08E" w14:textId="6B59890C" w:rsidR="00B65305" w:rsidRDefault="00B65305" w:rsidP="00B65305">
      <w:pPr>
        <w:pStyle w:val="Flietext"/>
      </w:pPr>
      <w:r>
        <w:t xml:space="preserve">Die EU-Schwellenwerte werden alle zwei Jahre von der EU neu festgesetzt. Die derzeit geltenden EU-Schwellenwerte sind der </w:t>
      </w:r>
      <w:bookmarkStart w:id="8" w:name="Wertgrenzentabelle_S"/>
      <w:proofErr w:type="spellStart"/>
      <w:r>
        <w:t>Wertgrenzentabelle</w:t>
      </w:r>
      <w:bookmarkEnd w:id="8"/>
      <w:proofErr w:type="spellEnd"/>
      <w:r>
        <w:t xml:space="preserve"> (</w:t>
      </w:r>
      <w:hyperlink w:anchor="Wertgrenzentabelle" w:history="1">
        <w:r w:rsidR="008E6F80">
          <w:rPr>
            <w:rStyle w:val="Hyperlink"/>
          </w:rPr>
          <w:t>Anlage 2</w:t>
        </w:r>
      </w:hyperlink>
      <w:r>
        <w:t>) zu entnehmen.</w:t>
      </w:r>
    </w:p>
    <w:p w14:paraId="65376C5A" w14:textId="3B1A7CC9" w:rsidR="00B65305" w:rsidRDefault="00B65305" w:rsidP="00B65305">
      <w:pPr>
        <w:pStyle w:val="berschrift2"/>
      </w:pPr>
      <w:bookmarkStart w:id="9" w:name="_Toc215054274"/>
      <w:r>
        <w:t>Rechtliche Grundlagen</w:t>
      </w:r>
      <w:bookmarkEnd w:id="9"/>
    </w:p>
    <w:p w14:paraId="43F3C18F" w14:textId="77777777" w:rsidR="00B65305" w:rsidRDefault="00B65305" w:rsidP="00B65305">
      <w:pPr>
        <w:pStyle w:val="Flietext"/>
      </w:pPr>
      <w:r>
        <w:t>Für die Durchführung einer Beschaffungsmaßnahme gelten die normierten Vergabebestimmungen der Europäischen Union, des Bundes und des Landes Nordrhein-Westfalen in den jeweils gültigen Fassungen sowie die ergänzenden Regelungen dieser Dienstanweisung.</w:t>
      </w:r>
      <w:r w:rsidRPr="00037874">
        <w:rPr>
          <w:vertAlign w:val="superscript"/>
        </w:rPr>
        <w:footnoteReference w:id="4"/>
      </w:r>
    </w:p>
    <w:p w14:paraId="2BD2D071" w14:textId="77777777" w:rsidR="00B65305" w:rsidRDefault="00B65305" w:rsidP="00B65305">
      <w:pPr>
        <w:pStyle w:val="Flietext"/>
      </w:pPr>
      <w:r>
        <w:t>Bei der Vergabe von Lieferungen oder Leistungen, die mit Mitteln der Europäischen Union, des Bundes bzw. des Landes oder sonstigen Fördermitteln gefördert werden, sind vorrangig die Nebenbestimmungen des jeweiligen Bewilligungsbescheides maßgebend.</w:t>
      </w:r>
      <w:r w:rsidRPr="008716EC">
        <w:rPr>
          <w:vertAlign w:val="superscript"/>
        </w:rPr>
        <w:footnoteReference w:id="5"/>
      </w:r>
    </w:p>
    <w:p w14:paraId="4CC1AFFA" w14:textId="77777777" w:rsidR="00B65305" w:rsidRDefault="00B65305" w:rsidP="00B65305">
      <w:pPr>
        <w:pStyle w:val="Flietext"/>
      </w:pPr>
      <w:bookmarkStart w:id="10" w:name="_Ref212191370"/>
      <w:r>
        <w:t>Für Vergaben unterhalb der EU-Schwellenwerte sind im Wesentlichen die nachfolgend aufgeführten Vorschriften in der jeweils gültigen Fassung anzuwenden:</w:t>
      </w:r>
      <w:bookmarkEnd w:id="10"/>
    </w:p>
    <w:p w14:paraId="54C8D3E5" w14:textId="08A702BA" w:rsidR="00B65305" w:rsidRDefault="00B65305" w:rsidP="00B65305">
      <w:pPr>
        <w:pStyle w:val="FlietextAufzhlung"/>
      </w:pPr>
      <w:r>
        <w:t>Gemeindeordnung für das Land Nordrhein-Westfalen (GO NRW)</w:t>
      </w:r>
    </w:p>
    <w:p w14:paraId="15DC4427" w14:textId="58FD043D" w:rsidR="00B65305" w:rsidRDefault="00B65305" w:rsidP="00B65305">
      <w:pPr>
        <w:pStyle w:val="FlietextAufzhlung"/>
      </w:pPr>
      <w:r>
        <w:t>Kommunalhaushaltsverordnung des Landes Nordrhein-Westfalen (</w:t>
      </w:r>
      <w:proofErr w:type="spellStart"/>
      <w:r>
        <w:t>KomHVO</w:t>
      </w:r>
      <w:proofErr w:type="spellEnd"/>
      <w:r>
        <w:t xml:space="preserve"> NRW)</w:t>
      </w:r>
    </w:p>
    <w:tbl>
      <w:tblPr>
        <w:tblStyle w:val="Tabelle"/>
        <w:tblW w:w="5000" w:type="pct"/>
        <w:tblInd w:w="0" w:type="dxa"/>
        <w:tblCellMar>
          <w:top w:w="0" w:type="dxa"/>
          <w:left w:w="0" w:type="dxa"/>
          <w:bottom w:w="0" w:type="dxa"/>
          <w:right w:w="0" w:type="dxa"/>
        </w:tblCellMar>
        <w:tblLook w:val="0600" w:firstRow="0" w:lastRow="0" w:firstColumn="0" w:lastColumn="0" w:noHBand="1" w:noVBand="1"/>
      </w:tblPr>
      <w:tblGrid>
        <w:gridCol w:w="8504"/>
      </w:tblGrid>
      <w:tr w:rsidR="00B65305" w14:paraId="62177736" w14:textId="77777777" w:rsidTr="00372843">
        <w:trPr>
          <w:trHeight w:val="1163"/>
        </w:trPr>
        <w:tc>
          <w:tcPr>
            <w:tcW w:w="8505" w:type="dxa"/>
            <w:tcBorders>
              <w:top w:val="nil"/>
              <w:left w:val="nil"/>
              <w:bottom w:val="nil"/>
              <w:right w:val="nil"/>
            </w:tcBorders>
            <w:shd w:val="clear" w:color="auto" w:fill="DCE3E7"/>
            <w:vAlign w:val="top"/>
          </w:tcPr>
          <w:p w14:paraId="39DA7C05" w14:textId="77777777" w:rsidR="009F2870" w:rsidRDefault="009F2870" w:rsidP="009F2870">
            <w:pPr>
              <w:pStyle w:val="Feststellungqualifiziert"/>
              <w:numPr>
                <w:ilvl w:val="0"/>
                <w:numId w:val="0"/>
              </w:numPr>
              <w:ind w:left="641"/>
            </w:pPr>
          </w:p>
          <w:p w14:paraId="391E7FBE" w14:textId="1D17EC8C" w:rsidR="00AB4ECF" w:rsidRPr="009F2870" w:rsidRDefault="00380963" w:rsidP="00461853">
            <w:pPr>
              <w:pStyle w:val="Feststellungqualifiziert"/>
              <w:tabs>
                <w:tab w:val="clear" w:pos="567"/>
                <w:tab w:val="left" w:pos="426"/>
              </w:tabs>
              <w:ind w:right="283"/>
              <w:rPr>
                <w:i/>
                <w:iCs/>
              </w:rPr>
            </w:pPr>
            <w:r w:rsidRPr="009F2870">
              <w:rPr>
                <w:i/>
                <w:iCs/>
              </w:rPr>
              <w:t>Sofern für Vergaben unterhalb der EU-Schwellenwerte eine Vergabesatzung existiert,</w:t>
            </w:r>
            <w:r w:rsidR="009F2870" w:rsidRPr="009F2870">
              <w:rPr>
                <w:b/>
                <w:i/>
                <w:iCs/>
              </w:rPr>
              <w:t xml:space="preserve"> </w:t>
            </w:r>
            <w:r w:rsidRPr="009F2870">
              <w:rPr>
                <w:i/>
                <w:iCs/>
              </w:rPr>
              <w:t>sollte diese hier ebenfalls aufgeführt werden</w:t>
            </w:r>
            <w:r w:rsidR="009F2870" w:rsidRPr="009F2870">
              <w:rPr>
                <w:b/>
                <w:i/>
                <w:iCs/>
              </w:rPr>
              <w:t>.</w:t>
            </w:r>
          </w:p>
        </w:tc>
      </w:tr>
    </w:tbl>
    <w:p w14:paraId="43072E9E" w14:textId="77777777" w:rsidR="00380963" w:rsidRDefault="00380963" w:rsidP="00380963">
      <w:pPr>
        <w:pStyle w:val="Flietext"/>
      </w:pPr>
      <w:r w:rsidRPr="0026524B">
        <w:t xml:space="preserve">Für Vergaben </w:t>
      </w:r>
      <w:r>
        <w:t>ob</w:t>
      </w:r>
      <w:r w:rsidRPr="0026524B">
        <w:t>erhalb der EU-Schwellenwerte sind im Wesentlichen die nachfolgend aufgeführten Vorschriften in der jeweils gültigen Fassung anzuwenden</w:t>
      </w:r>
      <w:r>
        <w:t>:</w:t>
      </w:r>
    </w:p>
    <w:p w14:paraId="39452EA1" w14:textId="52335314" w:rsidR="00B65305" w:rsidRDefault="00380963" w:rsidP="00380963">
      <w:pPr>
        <w:pStyle w:val="FlietextAufzhlung"/>
      </w:pPr>
      <w:r>
        <w:t>Gesetz gegen Wettbewerbsbeschränkungen (GWB),</w:t>
      </w:r>
    </w:p>
    <w:p w14:paraId="708B802D" w14:textId="77777777" w:rsidR="00380963" w:rsidRDefault="00380963" w:rsidP="00380963">
      <w:pPr>
        <w:pStyle w:val="FlietextAufzhlung"/>
      </w:pPr>
      <w:r>
        <w:t>Verordnung über die Vergabe öffentlicher Aufträge (Vergabeverordnung –VgV),</w:t>
      </w:r>
    </w:p>
    <w:p w14:paraId="32C14166" w14:textId="77777777" w:rsidR="00380963" w:rsidRDefault="00380963" w:rsidP="00380963">
      <w:pPr>
        <w:pStyle w:val="FlietextAufzhlung"/>
      </w:pPr>
      <w:r>
        <w:t>Vergabebestimmungen im Anwendungsbereich der Richtlinie 2014/24/EU (VOB/A - EU),</w:t>
      </w:r>
    </w:p>
    <w:p w14:paraId="3AF6B40E" w14:textId="77777777" w:rsidR="00380963" w:rsidRDefault="00380963" w:rsidP="00380963">
      <w:pPr>
        <w:pStyle w:val="FlietextAufzhlung"/>
      </w:pPr>
      <w:r>
        <w:t>Verordnung über die Vergabe von Konzessionen (</w:t>
      </w:r>
      <w:proofErr w:type="spellStart"/>
      <w:r>
        <w:t>KonzVgV</w:t>
      </w:r>
      <w:proofErr w:type="spellEnd"/>
      <w:r>
        <w:t>),</w:t>
      </w:r>
    </w:p>
    <w:p w14:paraId="25665A4C" w14:textId="77777777" w:rsidR="00380963" w:rsidRPr="00893272" w:rsidRDefault="00380963" w:rsidP="00380963">
      <w:pPr>
        <w:pStyle w:val="FlietextAufzhlung"/>
      </w:pPr>
      <w:r>
        <w:t>Verordnung über die Vergabe von öffentlichen Aufträgen im Bereich des Verkehrs, der Trinkwasserverordnung und der Energieversorgung (</w:t>
      </w:r>
      <w:proofErr w:type="spellStart"/>
      <w:r>
        <w:t>SektVO</w:t>
      </w:r>
      <w:proofErr w:type="spellEnd"/>
      <w:r>
        <w:t>),</w:t>
      </w:r>
    </w:p>
    <w:p w14:paraId="62A2EDF3" w14:textId="77777777" w:rsidR="00380963" w:rsidRDefault="00380963" w:rsidP="00380963">
      <w:pPr>
        <w:pStyle w:val="FlietextAufzhlung"/>
      </w:pPr>
      <w:r>
        <w:t xml:space="preserve">Verordnung zur Statistik über die Vergabe öffentlicher Aufträge und Konzessionen (Vergabestatistikverordnung – </w:t>
      </w:r>
      <w:proofErr w:type="spellStart"/>
      <w:r>
        <w:t>VergStatVO</w:t>
      </w:r>
      <w:proofErr w:type="spellEnd"/>
      <w:r>
        <w:t>).</w:t>
      </w:r>
    </w:p>
    <w:p w14:paraId="0C367987" w14:textId="77777777" w:rsidR="00380963" w:rsidRDefault="00380963" w:rsidP="00380963">
      <w:pPr>
        <w:pStyle w:val="Flietext"/>
      </w:pPr>
      <w:bookmarkStart w:id="11" w:name="_Ref212543957"/>
      <w:r>
        <w:t xml:space="preserve">Für Vergaben oberhalb und unterhalb der EU-Schwellenwerte </w:t>
      </w:r>
      <w:r w:rsidRPr="0026524B">
        <w:t>sind insbesondere folgende weitere Regelungen in der jeweils gültigen Fassung zu beachten:</w:t>
      </w:r>
      <w:bookmarkEnd w:id="11"/>
    </w:p>
    <w:p w14:paraId="240C4F75" w14:textId="46176965" w:rsidR="00380963" w:rsidRDefault="00380963" w:rsidP="00380963">
      <w:pPr>
        <w:pStyle w:val="FlietextAufzhlung"/>
      </w:pPr>
      <w:r>
        <w:t>Tariftreue- und Vergabegesetz Nordrhein-Westfalen (</w:t>
      </w:r>
      <w:proofErr w:type="spellStart"/>
      <w:r>
        <w:t>TVgG</w:t>
      </w:r>
      <w:proofErr w:type="spellEnd"/>
      <w:r>
        <w:t xml:space="preserve"> NRW),</w:t>
      </w:r>
    </w:p>
    <w:p w14:paraId="5770EC8F" w14:textId="77777777" w:rsidR="00380963" w:rsidRDefault="00380963" w:rsidP="00380963">
      <w:pPr>
        <w:pStyle w:val="FlietextAufzhlung"/>
      </w:pPr>
      <w:bookmarkStart w:id="12" w:name="__RefMoveTo__move210123610"/>
      <w:r>
        <w:t>Gesetz zur Verbesserung der Korruptionsbekämpfung (</w:t>
      </w:r>
      <w:proofErr w:type="spellStart"/>
      <w:r>
        <w:t>KorruptionsbG</w:t>
      </w:r>
      <w:proofErr w:type="spellEnd"/>
      <w:r>
        <w:t>),</w:t>
      </w:r>
    </w:p>
    <w:p w14:paraId="223004C4" w14:textId="77777777" w:rsidR="00380963" w:rsidRDefault="00380963" w:rsidP="00380963">
      <w:pPr>
        <w:pStyle w:val="FlietextAufzhlung"/>
      </w:pPr>
      <w:r w:rsidRPr="00124DE0">
        <w:t>Gesetz über die Voraussetzungen und das Verfahren von Sicherheitsüberprüfungen des Landes Nordrhein-Westfalen und den Schutz von Verschlusssachen (Sicherheitsüberprüfungsgesetz Nordrhein-Westfalen - SÜG NRW)</w:t>
      </w:r>
      <w:r>
        <w:t>,</w:t>
      </w:r>
    </w:p>
    <w:p w14:paraId="27338C60" w14:textId="77777777" w:rsidR="00380963" w:rsidRDefault="00380963" w:rsidP="00380963">
      <w:pPr>
        <w:pStyle w:val="FlietextAufzhlung"/>
      </w:pPr>
      <w:r w:rsidRPr="00124DE0">
        <w:t>Gesetz zur Förderung des Mittelstandes in Nordrhein-Westfalen (Mittelstandsförderungsgesetz)</w:t>
      </w:r>
      <w:r>
        <w:t>,</w:t>
      </w:r>
    </w:p>
    <w:p w14:paraId="7F9D090D" w14:textId="77777777" w:rsidR="00380963" w:rsidRDefault="00380963" w:rsidP="00380963">
      <w:pPr>
        <w:pStyle w:val="FlietextAufzhlung"/>
      </w:pPr>
      <w:bookmarkStart w:id="13" w:name="__RefMoveTo__move210123530"/>
      <w:bookmarkEnd w:id="12"/>
      <w:r>
        <w:t>Gesetz zur Einrichtung und zum Betrieb eines Registers zum Schutz des Wettbewerbs um öffentliche Aufträge und Konzessionen (</w:t>
      </w:r>
      <w:proofErr w:type="spellStart"/>
      <w:r>
        <w:t>WRegG</w:t>
      </w:r>
      <w:proofErr w:type="spellEnd"/>
      <w:r>
        <w:t>)</w:t>
      </w:r>
      <w:bookmarkEnd w:id="13"/>
      <w:r>
        <w:t>,</w:t>
      </w:r>
    </w:p>
    <w:p w14:paraId="4671312E" w14:textId="77777777" w:rsidR="00380963" w:rsidRDefault="00380963" w:rsidP="00380963">
      <w:pPr>
        <w:pStyle w:val="FlietextAufzhlung"/>
      </w:pPr>
      <w:r>
        <w:t>Gesetz zur Bekämpfung der Schwarzarbeit und illegaler Beschäftigung (</w:t>
      </w:r>
      <w:proofErr w:type="spellStart"/>
      <w:r>
        <w:t>SchwarzArbG</w:t>
      </w:r>
      <w:proofErr w:type="spellEnd"/>
      <w:r>
        <w:t>),</w:t>
      </w:r>
    </w:p>
    <w:p w14:paraId="7F789C7B" w14:textId="77777777" w:rsidR="00380963" w:rsidRDefault="00380963" w:rsidP="00380963">
      <w:pPr>
        <w:pStyle w:val="FlietextAufzhlung"/>
      </w:pPr>
      <w:r>
        <w:t>Gesetz über zwingende Arbeitsbedingungen für grenzüberschreitend entsandte und für regelmäßig im Inland beschäftigte Arbeitnehmer und Arbeitnehmerinnen (AentG),</w:t>
      </w:r>
    </w:p>
    <w:p w14:paraId="511814AB" w14:textId="77777777" w:rsidR="00380963" w:rsidRDefault="00380963" w:rsidP="00380963">
      <w:pPr>
        <w:pStyle w:val="FlietextAufzhlung"/>
      </w:pPr>
      <w:r>
        <w:t>Gesetz zur Regelung eines allgemeinen Mindestlohns (MiLoG),</w:t>
      </w:r>
    </w:p>
    <w:p w14:paraId="23DDB2DF" w14:textId="77777777" w:rsidR="00380963" w:rsidRDefault="00380963" w:rsidP="00380963">
      <w:pPr>
        <w:pStyle w:val="FlietextAufzhlung"/>
      </w:pPr>
      <w:r>
        <w:t>Gesetz über die Beschaffung sauberer Straßenfahrzeuge (</w:t>
      </w:r>
      <w:proofErr w:type="spellStart"/>
      <w:r>
        <w:t>SaubFahrzeugBeschG</w:t>
      </w:r>
      <w:proofErr w:type="spellEnd"/>
      <w:r>
        <w:t>),</w:t>
      </w:r>
    </w:p>
    <w:p w14:paraId="0B23EB2F" w14:textId="77777777" w:rsidR="00380963" w:rsidRDefault="00380963" w:rsidP="00380963">
      <w:pPr>
        <w:pStyle w:val="FlietextAufzhlung"/>
      </w:pPr>
      <w:bookmarkStart w:id="14" w:name="__RefMoveTo__move210123938"/>
      <w:r>
        <w:t>Gesetz über die unternehmerischen Sorgfaltspflichten zur Vermeidung von Menschenrechtsverletzungen in Lieferketten (</w:t>
      </w:r>
      <w:proofErr w:type="spellStart"/>
      <w:r>
        <w:t>LkSG</w:t>
      </w:r>
      <w:proofErr w:type="spellEnd"/>
      <w:r>
        <w:t>)</w:t>
      </w:r>
      <w:bookmarkEnd w:id="14"/>
      <w:r>
        <w:t>,</w:t>
      </w:r>
    </w:p>
    <w:p w14:paraId="7C021933" w14:textId="77777777" w:rsidR="00380963" w:rsidRDefault="00380963" w:rsidP="00380963">
      <w:pPr>
        <w:pStyle w:val="FlietextAufzhlung"/>
      </w:pPr>
      <w:r>
        <w:t>EU-Verordnung über restriktive Maßnahmen angesichts der Handlungen Russlands, die die Lage in der Ukraine destabilisieren, deren Änderung und die „Allgemeinen Genehmigung Nr. 31“ zur Vergabe öffentlicher Aufträge und Konzessionen</w:t>
      </w:r>
      <w:r>
        <w:rPr>
          <w:rStyle w:val="Funotenzeichen"/>
        </w:rPr>
        <w:footnoteReference w:id="6"/>
      </w:r>
      <w:r>
        <w:t>,</w:t>
      </w:r>
    </w:p>
    <w:p w14:paraId="778DC364" w14:textId="77777777" w:rsidR="00380963" w:rsidRDefault="00380963" w:rsidP="00380963">
      <w:pPr>
        <w:pStyle w:val="FlietextAufzhlung"/>
      </w:pPr>
      <w:bookmarkStart w:id="15" w:name="__RefMoveTo__move210123476"/>
      <w:r>
        <w:t>Gesetz über die förmliche Verpflichtung nichtbeamteter Personen (Verpflichtungsgesetz)</w:t>
      </w:r>
      <w:bookmarkEnd w:id="15"/>
      <w:r>
        <w:t>.</w:t>
      </w:r>
    </w:p>
    <w:p w14:paraId="414FCA76" w14:textId="77777777" w:rsidR="00380963" w:rsidRDefault="00380963" w:rsidP="00380963">
      <w:pPr>
        <w:pStyle w:val="FlietextAufzhlung"/>
        <w:numPr>
          <w:ilvl w:val="0"/>
          <w:numId w:val="0"/>
        </w:numPr>
        <w:ind w:left="284"/>
      </w:pPr>
    </w:p>
    <w:tbl>
      <w:tblPr>
        <w:tblStyle w:val="Tabelle"/>
        <w:tblW w:w="5000" w:type="pct"/>
        <w:tblInd w:w="0" w:type="dxa"/>
        <w:tblCellMar>
          <w:top w:w="0" w:type="dxa"/>
          <w:left w:w="0" w:type="dxa"/>
          <w:bottom w:w="0" w:type="dxa"/>
          <w:right w:w="0" w:type="dxa"/>
        </w:tblCellMar>
        <w:tblLook w:val="0600" w:firstRow="0" w:lastRow="0" w:firstColumn="0" w:lastColumn="0" w:noHBand="1" w:noVBand="1"/>
      </w:tblPr>
      <w:tblGrid>
        <w:gridCol w:w="8504"/>
      </w:tblGrid>
      <w:tr w:rsidR="00380963" w14:paraId="0F25478D" w14:textId="77777777" w:rsidTr="005A6AFE">
        <w:tc>
          <w:tcPr>
            <w:tcW w:w="8494" w:type="dxa"/>
            <w:tcBorders>
              <w:top w:val="nil"/>
              <w:left w:val="nil"/>
              <w:bottom w:val="nil"/>
              <w:right w:val="nil"/>
            </w:tcBorders>
            <w:shd w:val="clear" w:color="auto" w:fill="DCE3E7"/>
            <w:vAlign w:val="top"/>
          </w:tcPr>
          <w:p w14:paraId="098B9A0D" w14:textId="35D88FF1" w:rsidR="00380963" w:rsidRDefault="00380963" w:rsidP="006822B6">
            <w:pPr>
              <w:pStyle w:val="FeststellungEmpfehlung"/>
              <w:tabs>
                <w:tab w:val="clear" w:pos="284"/>
                <w:tab w:val="left" w:pos="426"/>
              </w:tabs>
              <w:spacing w:before="480"/>
              <w:ind w:left="568" w:right="284"/>
            </w:pPr>
            <w:r w:rsidRPr="00380963">
              <w:t xml:space="preserve">Zusätzlich </w:t>
            </w:r>
            <w:r>
              <w:t>können weitere Regelungen zur Anwendung vorgegeben werden,</w:t>
            </w:r>
            <w:r w:rsidR="006822B6">
              <w:br/>
            </w:r>
            <w:r>
              <w:t>beispielsweise:</w:t>
            </w:r>
          </w:p>
          <w:p w14:paraId="19D3EFCF" w14:textId="77777777" w:rsidR="00380963" w:rsidRPr="004B31E3" w:rsidRDefault="00380963" w:rsidP="006822B6">
            <w:pPr>
              <w:pStyle w:val="FlietextAufzhlung"/>
              <w:ind w:left="851" w:right="284" w:hanging="284"/>
              <w:rPr>
                <w:b/>
              </w:rPr>
            </w:pPr>
            <w:r w:rsidRPr="004B31E3">
              <w:t>Runderlass für Eignungsnachweise durch Präqualifikation bei Beschränkten Ausschreibungen ohne Teilnahmewettbewerb und bei Freihändige</w:t>
            </w:r>
            <w:r>
              <w:t>n</w:t>
            </w:r>
            <w:r w:rsidRPr="004B31E3">
              <w:t xml:space="preserve"> Vergaben (Präqualifikationsrichtlinie)</w:t>
            </w:r>
          </w:p>
          <w:p w14:paraId="72A38B73" w14:textId="77777777" w:rsidR="00380963" w:rsidRPr="004B31E3" w:rsidRDefault="00380963" w:rsidP="006822B6">
            <w:pPr>
              <w:pStyle w:val="FlietextAufzhlung"/>
              <w:ind w:left="851" w:right="284" w:hanging="284"/>
              <w:rPr>
                <w:b/>
              </w:rPr>
            </w:pPr>
            <w:r w:rsidRPr="004B31E3">
              <w:t>Runderlass zur Berücksichtigung von Werkstätten für behinderte Menschen und von Inklusionsbetrieben bei der Vergabe öffentlicher Aufträge</w:t>
            </w:r>
          </w:p>
          <w:p w14:paraId="07299DE9" w14:textId="77777777" w:rsidR="00380963" w:rsidRPr="004B31E3" w:rsidRDefault="00380963" w:rsidP="006822B6">
            <w:pPr>
              <w:pStyle w:val="FlietextAufzhlung"/>
              <w:ind w:left="851" w:right="284" w:hanging="284"/>
              <w:rPr>
                <w:b/>
              </w:rPr>
            </w:pPr>
            <w:r w:rsidRPr="004B31E3">
              <w:t>Runderlass zur Anwendung einer Schutzklausel zur Abwehr von Einflüssen der Scientology-Organisation und deren Unternehmen bei der Vergabe von öffentlichen Aufträgen über Beratungs- und Schulungsleistungen</w:t>
            </w:r>
          </w:p>
          <w:p w14:paraId="629BB31B" w14:textId="77777777" w:rsidR="00380963" w:rsidRPr="004B31E3" w:rsidRDefault="00380963" w:rsidP="006822B6">
            <w:pPr>
              <w:pStyle w:val="FlietextAufzhlung"/>
              <w:spacing w:after="120"/>
              <w:ind w:left="851" w:hanging="285"/>
              <w:rPr>
                <w:b/>
              </w:rPr>
            </w:pPr>
            <w:r w:rsidRPr="004B31E3">
              <w:t>Honorarordnung für Architekten und Ingenieure (HOAI)</w:t>
            </w:r>
          </w:p>
          <w:p w14:paraId="4BA18983" w14:textId="1ACCCDF7" w:rsidR="00380963" w:rsidRPr="00380963" w:rsidRDefault="00380963" w:rsidP="006822B6">
            <w:pPr>
              <w:pStyle w:val="FlietextAufzhlung"/>
              <w:ind w:left="851" w:hanging="284"/>
              <w:rPr>
                <w:b/>
              </w:rPr>
            </w:pPr>
            <w:r w:rsidRPr="004B31E3">
              <w:t>VOB/B und VOB/C sowie d</w:t>
            </w:r>
            <w:r>
              <w:t>ie</w:t>
            </w:r>
            <w:r w:rsidRPr="004B31E3">
              <w:t xml:space="preserve"> VOL/B</w:t>
            </w:r>
            <w:r>
              <w:rPr>
                <w:rStyle w:val="Funotenzeichen"/>
                <w:i/>
              </w:rPr>
              <w:footnoteReference w:id="7"/>
            </w:r>
          </w:p>
        </w:tc>
      </w:tr>
      <w:tr w:rsidR="00380963" w14:paraId="6AFF87F8" w14:textId="77777777" w:rsidTr="005A6AFE">
        <w:tc>
          <w:tcPr>
            <w:tcW w:w="8494" w:type="dxa"/>
            <w:tcBorders>
              <w:top w:val="nil"/>
              <w:left w:val="nil"/>
              <w:bottom w:val="nil"/>
              <w:right w:val="nil"/>
            </w:tcBorders>
            <w:shd w:val="clear" w:color="auto" w:fill="DCE3E7"/>
            <w:vAlign w:val="top"/>
          </w:tcPr>
          <w:p w14:paraId="12C00153" w14:textId="77777777" w:rsidR="00380963" w:rsidRPr="00380963" w:rsidRDefault="00380963" w:rsidP="00AB4ECF">
            <w:pPr>
              <w:pStyle w:val="Sonderformat"/>
              <w:numPr>
                <w:ilvl w:val="0"/>
                <w:numId w:val="0"/>
              </w:numPr>
              <w:rPr>
                <w:b w:val="0"/>
                <w:bCs/>
              </w:rPr>
            </w:pPr>
          </w:p>
        </w:tc>
      </w:tr>
    </w:tbl>
    <w:p w14:paraId="2436A159" w14:textId="77777777" w:rsidR="00380963" w:rsidRDefault="00380963" w:rsidP="005A6AFE">
      <w:pPr>
        <w:pStyle w:val="Flietext"/>
      </w:pPr>
    </w:p>
    <w:tbl>
      <w:tblPr>
        <w:tblStyle w:val="Tabelle"/>
        <w:tblW w:w="5000" w:type="pct"/>
        <w:tblInd w:w="0" w:type="dxa"/>
        <w:tblCellMar>
          <w:top w:w="0" w:type="dxa"/>
          <w:left w:w="0" w:type="dxa"/>
          <w:bottom w:w="0" w:type="dxa"/>
          <w:right w:w="0" w:type="dxa"/>
        </w:tblCellMar>
        <w:tblLook w:val="0600" w:firstRow="0" w:lastRow="0" w:firstColumn="0" w:lastColumn="0" w:noHBand="1" w:noVBand="1"/>
      </w:tblPr>
      <w:tblGrid>
        <w:gridCol w:w="8504"/>
      </w:tblGrid>
      <w:tr w:rsidR="00380963" w14:paraId="27D1DCE2" w14:textId="77777777" w:rsidTr="005A6AFE">
        <w:tc>
          <w:tcPr>
            <w:tcW w:w="8494" w:type="dxa"/>
            <w:tcBorders>
              <w:top w:val="nil"/>
              <w:left w:val="nil"/>
              <w:bottom w:val="nil"/>
              <w:right w:val="nil"/>
            </w:tcBorders>
            <w:shd w:val="clear" w:color="auto" w:fill="DCE3E7"/>
            <w:vAlign w:val="top"/>
          </w:tcPr>
          <w:p w14:paraId="3F2C76AF" w14:textId="7AF50AEC" w:rsidR="00AB4ECF" w:rsidRPr="00AB4ECF" w:rsidRDefault="00380963" w:rsidP="00522996">
            <w:pPr>
              <w:pStyle w:val="Sonderformat"/>
              <w:numPr>
                <w:ilvl w:val="0"/>
                <w:numId w:val="0"/>
              </w:numPr>
              <w:spacing w:after="120"/>
              <w:ind w:left="454"/>
            </w:pPr>
            <w:r>
              <w:rPr>
                <w:noProof/>
                <w:lang w:eastAsia="de-DE"/>
              </w:rPr>
              <w:drawing>
                <wp:inline distT="0" distB="0" distL="0" distR="0" wp14:anchorId="70213572" wp14:editId="450C4349">
                  <wp:extent cx="522605" cy="522605"/>
                  <wp:effectExtent l="0" t="0" r="0" b="0"/>
                  <wp:docPr id="4" name="Grafik 4" descr="Geöffnetes Buch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Geöffnetes Buch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522605" cy="522605"/>
                          </a:xfrm>
                          <a:prstGeom prst="rect">
                            <a:avLst/>
                          </a:prstGeom>
                        </pic:spPr>
                      </pic:pic>
                    </a:graphicData>
                  </a:graphic>
                </wp:inline>
              </w:drawing>
            </w:r>
            <w:r>
              <w:t>Werden weitere Regelungen zur Anwendung vorgegeben, welche die Durchführung von Vergaben</w:t>
            </w:r>
            <w:r w:rsidRPr="00B24A6A">
              <w:t xml:space="preserve"> einschränken</w:t>
            </w:r>
            <w:r>
              <w:t xml:space="preserve"> und sollen diese auch für Vergaben unter dem EU-Schwellenwert gelten, ist dies </w:t>
            </w:r>
            <w:r w:rsidRPr="00510BD7">
              <w:t>gemäß § 75a Abs. 2 GO NRW</w:t>
            </w:r>
            <w:r>
              <w:t xml:space="preserve"> in Form einer Satzung zu beschließen (vgl. dazu auch </w:t>
            </w:r>
            <w:bookmarkStart w:id="16" w:name="Satzungserfordernis_S"/>
            <w:r w:rsidR="00AC7E32" w:rsidRPr="00AC7E32">
              <w:fldChar w:fldCharType="begin"/>
            </w:r>
            <w:r w:rsidR="00522492">
              <w:instrText>HYPERLINK  \l "Satzungserfordernis_FAQ"</w:instrText>
            </w:r>
            <w:r w:rsidR="00AC7E32" w:rsidRPr="00AC7E32">
              <w:fldChar w:fldCharType="separate"/>
            </w:r>
            <w:r w:rsidRPr="00AC7E32">
              <w:rPr>
                <w:rStyle w:val="Hyperlink"/>
              </w:rPr>
              <w:t>Anlage 4</w:t>
            </w:r>
            <w:bookmarkEnd w:id="16"/>
            <w:r w:rsidR="00AC7E32" w:rsidRPr="00AC7E32">
              <w:fldChar w:fldCharType="end"/>
            </w:r>
            <w:r w:rsidRPr="00AC7E32">
              <w:t>)</w:t>
            </w:r>
            <w:r>
              <w:t>.</w:t>
            </w:r>
            <w:r w:rsidR="00AB4ECF">
              <w:br/>
            </w:r>
          </w:p>
        </w:tc>
      </w:tr>
    </w:tbl>
    <w:p w14:paraId="3913A49E" w14:textId="6EFB3FAC" w:rsidR="00380963" w:rsidRDefault="00F97C3E" w:rsidP="00F97C3E">
      <w:pPr>
        <w:pStyle w:val="berschrift2"/>
      </w:pPr>
      <w:bookmarkStart w:id="17" w:name="_Toc215054275"/>
      <w:r>
        <w:t>Vergabegrundsätze</w:t>
      </w:r>
      <w:bookmarkEnd w:id="17"/>
    </w:p>
    <w:p w14:paraId="5A82A107" w14:textId="18826540" w:rsidR="00F97C3E" w:rsidRDefault="00F97C3E" w:rsidP="00C3789D">
      <w:pPr>
        <w:pStyle w:val="berschrift3"/>
      </w:pPr>
      <w:r>
        <w:t>Grundsatz der wirtschaftlichen Haushaltsführung</w:t>
      </w:r>
    </w:p>
    <w:p w14:paraId="437E5DF1" w14:textId="77777777" w:rsidR="00C3789D" w:rsidRDefault="00C3789D" w:rsidP="00C3789D">
      <w:pPr>
        <w:pStyle w:val="Flietext"/>
      </w:pPr>
      <w:r>
        <w:t xml:space="preserve">Die Beschaffung von Liefer-, Dienst- und Bauleistungen muss den Grundsätzen einer wirtschaftlichen, effizienten und sparsamen Haushaltsführung gemäß § 75 GO NRW entsprechen und die Interessen der </w:t>
      </w:r>
      <w:r>
        <w:rPr>
          <w:color w:val="00B0F0"/>
        </w:rPr>
        <w:t xml:space="preserve">&lt;&lt;Musterkommune&gt;&gt; </w:t>
      </w:r>
      <w:r>
        <w:t>berücksichtigen.</w:t>
      </w:r>
    </w:p>
    <w:p w14:paraId="7CCEBC2B" w14:textId="77777777" w:rsidR="00C3789D" w:rsidRDefault="00C3789D" w:rsidP="00C3789D">
      <w:pPr>
        <w:pStyle w:val="Flietext"/>
        <w:spacing w:after="0"/>
        <w:rPr>
          <w:iCs/>
          <w:u w:val="single"/>
        </w:rPr>
      </w:pPr>
      <w:r w:rsidRPr="004E2F58">
        <w:rPr>
          <w:iCs/>
          <w:u w:val="single"/>
        </w:rPr>
        <w:t>Für Beschaffungen unterhalb des EU-Schwellenwertes gilt:</w:t>
      </w:r>
    </w:p>
    <w:p w14:paraId="55E81BBE" w14:textId="3E3289F2" w:rsidR="00C3789D" w:rsidRDefault="00C3789D" w:rsidP="00C3789D">
      <w:pPr>
        <w:pStyle w:val="Flietext"/>
        <w:spacing w:before="0"/>
        <w:rPr>
          <w:iCs/>
        </w:rPr>
      </w:pPr>
      <w:r>
        <w:rPr>
          <w:iCs/>
        </w:rPr>
        <w:t>Die Beschaffung erfolgt</w:t>
      </w:r>
      <w:r w:rsidRPr="004E2F58">
        <w:rPr>
          <w:iCs/>
        </w:rPr>
        <w:t xml:space="preserve"> wirtschaftlich, effizient und sparsam, wenn zu Marktpreisen ein</w:t>
      </w:r>
      <w:r>
        <w:rPr>
          <w:iCs/>
        </w:rPr>
        <w:t>ge</w:t>
      </w:r>
      <w:r w:rsidRPr="004E2F58">
        <w:rPr>
          <w:iCs/>
        </w:rPr>
        <w:t>kauf</w:t>
      </w:r>
      <w:r>
        <w:rPr>
          <w:iCs/>
        </w:rPr>
        <w:t>t wird</w:t>
      </w:r>
      <w:r w:rsidRPr="004E2F58">
        <w:rPr>
          <w:iCs/>
        </w:rPr>
        <w:t>.</w:t>
      </w:r>
      <w:r>
        <w:rPr>
          <w:iCs/>
        </w:rPr>
        <w:t xml:space="preserve"> </w:t>
      </w:r>
      <w:r w:rsidRPr="004E2F58">
        <w:rPr>
          <w:iCs/>
        </w:rPr>
        <w:t xml:space="preserve">Bei alltäglichen Gegenständen ist ein Vergleich von Qualität und Preisen, beispielsweise </w:t>
      </w:r>
      <w:proofErr w:type="gramStart"/>
      <w:r w:rsidRPr="004E2F58">
        <w:rPr>
          <w:iCs/>
        </w:rPr>
        <w:t>mittels Prospekten</w:t>
      </w:r>
      <w:proofErr w:type="gramEnd"/>
      <w:r w:rsidRPr="004E2F58">
        <w:rPr>
          <w:iCs/>
        </w:rPr>
        <w:t>, Katalogen und Internetangeboten, ausreichend.</w:t>
      </w:r>
      <w:r>
        <w:rPr>
          <w:iCs/>
        </w:rPr>
        <w:t xml:space="preserve"> </w:t>
      </w:r>
      <w:r w:rsidRPr="004E2F58">
        <w:rPr>
          <w:iCs/>
        </w:rPr>
        <w:t>Auch Preisangaben aus früheren Aufträgen reichen aus, wenn keine Anhaltspunkte bekannt sind, dass sich die Marktlage geändert hat.</w:t>
      </w:r>
      <w:r>
        <w:rPr>
          <w:iCs/>
        </w:rPr>
        <w:t xml:space="preserve"> </w:t>
      </w:r>
    </w:p>
    <w:p w14:paraId="602FD6B4" w14:textId="281589EB" w:rsidR="00C3789D" w:rsidRDefault="00C3789D" w:rsidP="00C3789D">
      <w:pPr>
        <w:pStyle w:val="Flietext"/>
        <w:spacing w:before="0"/>
        <w:rPr>
          <w:iCs/>
        </w:rPr>
      </w:pPr>
      <w:r w:rsidRPr="004E2F58">
        <w:rPr>
          <w:iCs/>
        </w:rPr>
        <w:t>Leistungen zu Mark</w:t>
      </w:r>
      <w:r>
        <w:rPr>
          <w:iCs/>
        </w:rPr>
        <w:t>t</w:t>
      </w:r>
      <w:r w:rsidRPr="004E2F58">
        <w:rPr>
          <w:iCs/>
        </w:rPr>
        <w:t>preisen können direkt am Markt ab</w:t>
      </w:r>
      <w:r>
        <w:rPr>
          <w:iCs/>
        </w:rPr>
        <w:t>ge</w:t>
      </w:r>
      <w:r w:rsidRPr="004E2F58">
        <w:rPr>
          <w:iCs/>
        </w:rPr>
        <w:t>rufen</w:t>
      </w:r>
      <w:r>
        <w:rPr>
          <w:iCs/>
        </w:rPr>
        <w:t xml:space="preserve"> werden</w:t>
      </w:r>
      <w:r w:rsidRPr="004E2F58">
        <w:rPr>
          <w:iCs/>
        </w:rPr>
        <w:t>; aufwändige Vergabeunterlagen sind nicht erforderlich.</w:t>
      </w:r>
    </w:p>
    <w:p w14:paraId="61B5A0AD" w14:textId="652116F0" w:rsidR="00C3789D" w:rsidRDefault="00C3789D" w:rsidP="00C3789D">
      <w:pPr>
        <w:pStyle w:val="Flietext"/>
        <w:spacing w:before="0"/>
        <w:rPr>
          <w:iCs/>
        </w:rPr>
      </w:pPr>
      <w:r w:rsidRPr="004E2F58">
        <w:rPr>
          <w:iCs/>
        </w:rPr>
        <w:t>Vergleichsangebote sind erforderlich, wenn keine Mark</w:t>
      </w:r>
      <w:r>
        <w:rPr>
          <w:iCs/>
        </w:rPr>
        <w:t>t</w:t>
      </w:r>
      <w:r w:rsidRPr="004E2F58">
        <w:rPr>
          <w:iCs/>
        </w:rPr>
        <w:t>preise bestehen oder auch nach einer Marktrecherche nicht ersichtlich sind.</w:t>
      </w:r>
      <w:r>
        <w:rPr>
          <w:iCs/>
        </w:rPr>
        <w:t xml:space="preserve"> </w:t>
      </w:r>
      <w:r w:rsidRPr="004E2F58">
        <w:rPr>
          <w:iCs/>
        </w:rPr>
        <w:t>Werden Vergleichsangebote eingeholt, ist für alle Bietenden in gleicher Weise klar und deutlich festzulegen, was beschafft werden soll.</w:t>
      </w:r>
    </w:p>
    <w:p w14:paraId="1F947BB8" w14:textId="772210B0" w:rsidR="00F97C3E" w:rsidRDefault="00C3789D" w:rsidP="00F97C3E">
      <w:pPr>
        <w:pStyle w:val="Flietext"/>
      </w:pPr>
      <w:r>
        <w:t xml:space="preserve">Vergleiche dazu auch </w:t>
      </w:r>
      <w:bookmarkStart w:id="18" w:name="Haushaltsführung_S"/>
      <w:r w:rsidR="005C19FA" w:rsidRPr="005C19FA">
        <w:fldChar w:fldCharType="begin"/>
      </w:r>
      <w:r w:rsidR="00522492">
        <w:instrText>HYPERLINK  \l "Haushaltsführung_FAQ"</w:instrText>
      </w:r>
      <w:r w:rsidR="005C19FA" w:rsidRPr="005C19FA">
        <w:fldChar w:fldCharType="separate"/>
      </w:r>
      <w:r w:rsidRPr="005C19FA">
        <w:rPr>
          <w:rStyle w:val="Hyperlink"/>
        </w:rPr>
        <w:t>Anlage 4</w:t>
      </w:r>
      <w:bookmarkEnd w:id="18"/>
      <w:r w:rsidR="005C19FA" w:rsidRPr="005C19FA">
        <w:fldChar w:fldCharType="end"/>
      </w:r>
      <w:r>
        <w:t>.</w:t>
      </w:r>
    </w:p>
    <w:p w14:paraId="12617614" w14:textId="0EEC6D06" w:rsidR="00C3789D" w:rsidRDefault="00C3789D" w:rsidP="00C3789D">
      <w:pPr>
        <w:pStyle w:val="berschrift3"/>
      </w:pPr>
      <w:r>
        <w:t>Transparenzgebot</w:t>
      </w:r>
    </w:p>
    <w:p w14:paraId="1F0F56B6" w14:textId="77777777" w:rsidR="00C3789D" w:rsidRDefault="00C3789D" w:rsidP="00C3789D">
      <w:pPr>
        <w:pStyle w:val="Flietext"/>
      </w:pPr>
      <w:r w:rsidRPr="001C7C0A">
        <w:t>Die Vergabeverfahren müssen nachvollziehbar sein. Die Verfahren sind zu dokumentieren und in einer Vergabeakte zusammenzufassen.</w:t>
      </w:r>
    </w:p>
    <w:p w14:paraId="2B1A75B4" w14:textId="77777777" w:rsidR="00C3789D" w:rsidRDefault="00C3789D" w:rsidP="00C3789D">
      <w:pPr>
        <w:pStyle w:val="Flietext"/>
        <w:spacing w:after="0"/>
        <w:rPr>
          <w:iCs/>
          <w:u w:val="single"/>
        </w:rPr>
      </w:pPr>
      <w:r w:rsidRPr="004E2F58">
        <w:rPr>
          <w:iCs/>
          <w:u w:val="single"/>
        </w:rPr>
        <w:t>Für Beschaffungen unterhalb des EU-Schwellenwertes gilt:</w:t>
      </w:r>
      <w:r w:rsidRPr="00C82F37" w:rsidDel="00041239">
        <w:rPr>
          <w:rStyle w:val="Funotenzeichen"/>
          <w:iCs/>
          <w:u w:val="single"/>
        </w:rPr>
        <w:t xml:space="preserve"> </w:t>
      </w:r>
    </w:p>
    <w:p w14:paraId="77A1A8B6" w14:textId="5E413F6D" w:rsidR="00C3789D" w:rsidRPr="00DC2442" w:rsidRDefault="00630F0B" w:rsidP="00C3789D">
      <w:pPr>
        <w:pStyle w:val="Flietext"/>
        <w:spacing w:before="0"/>
        <w:rPr>
          <w:iCs/>
        </w:rPr>
      </w:pPr>
      <w:r>
        <w:rPr>
          <w:iCs/>
        </w:rPr>
        <w:t>Das</w:t>
      </w:r>
      <w:r w:rsidR="00C3789D" w:rsidRPr="004E2F58">
        <w:rPr>
          <w:iCs/>
        </w:rPr>
        <w:t xml:space="preserve"> Transparenzgebot</w:t>
      </w:r>
      <w:r>
        <w:rPr>
          <w:iCs/>
        </w:rPr>
        <w:t xml:space="preserve"> wird gewahrt</w:t>
      </w:r>
      <w:r w:rsidR="00C3789D">
        <w:rPr>
          <w:iCs/>
        </w:rPr>
        <w:t xml:space="preserve">, wenn </w:t>
      </w:r>
      <w:r>
        <w:rPr>
          <w:iCs/>
        </w:rPr>
        <w:t>die</w:t>
      </w:r>
      <w:r w:rsidR="00C3789D" w:rsidRPr="004E2F58">
        <w:rPr>
          <w:iCs/>
        </w:rPr>
        <w:t xml:space="preserve"> am Verfahren beteiligte</w:t>
      </w:r>
      <w:r>
        <w:rPr>
          <w:iCs/>
        </w:rPr>
        <w:t>n</w:t>
      </w:r>
      <w:r w:rsidR="00C3789D" w:rsidRPr="004E2F58">
        <w:rPr>
          <w:iCs/>
        </w:rPr>
        <w:t xml:space="preserve"> Unternehmen im gleichen Umfang über den Verfahrensverlauf informier</w:t>
      </w:r>
      <w:r>
        <w:rPr>
          <w:iCs/>
        </w:rPr>
        <w:t>t werden</w:t>
      </w:r>
      <w:r w:rsidR="00C3789D" w:rsidRPr="004E2F58">
        <w:rPr>
          <w:iCs/>
        </w:rPr>
        <w:t>.</w:t>
      </w:r>
      <w:r w:rsidR="00C3789D">
        <w:rPr>
          <w:iCs/>
        </w:rPr>
        <w:t xml:space="preserve"> </w:t>
      </w:r>
      <w:r w:rsidR="00C3789D" w:rsidRPr="004E2F58">
        <w:rPr>
          <w:iCs/>
        </w:rPr>
        <w:t>Zudem ergibt sich aus dem Transparenzgrundsatz, dass Akten ordentlich zu führen sind.</w:t>
      </w:r>
    </w:p>
    <w:p w14:paraId="0CAA7467" w14:textId="48FE775D" w:rsidR="00C3789D" w:rsidRDefault="00C3789D" w:rsidP="00C3789D">
      <w:pPr>
        <w:pStyle w:val="Flietext"/>
      </w:pPr>
      <w:r>
        <w:t xml:space="preserve">Vergleiche dazu auch </w:t>
      </w:r>
      <w:bookmarkStart w:id="19" w:name="Transparenz_S"/>
      <w:r w:rsidR="005C19FA" w:rsidRPr="005C19FA">
        <w:fldChar w:fldCharType="begin"/>
      </w:r>
      <w:r w:rsidR="00522492">
        <w:instrText>HYPERLINK  \l "Transparenz_FAQ"</w:instrText>
      </w:r>
      <w:r w:rsidR="005C19FA" w:rsidRPr="005C19FA">
        <w:fldChar w:fldCharType="separate"/>
      </w:r>
      <w:r w:rsidRPr="005C19FA">
        <w:rPr>
          <w:rStyle w:val="Hyperlink"/>
        </w:rPr>
        <w:t>Anlage 4</w:t>
      </w:r>
      <w:r w:rsidR="005C19FA" w:rsidRPr="005C19FA">
        <w:fldChar w:fldCharType="end"/>
      </w:r>
      <w:bookmarkEnd w:id="19"/>
      <w:r w:rsidRPr="005C19FA">
        <w:t>.</w:t>
      </w:r>
    </w:p>
    <w:p w14:paraId="015A0417" w14:textId="612F0126" w:rsidR="00C3789D" w:rsidRDefault="00C3789D" w:rsidP="00C3789D">
      <w:pPr>
        <w:pStyle w:val="berschrift3"/>
      </w:pPr>
      <w:r>
        <w:t>Gleichbehandlungsgrundsatz</w:t>
      </w:r>
    </w:p>
    <w:p w14:paraId="35371372" w14:textId="77777777" w:rsidR="00C3789D" w:rsidRDefault="00C3789D" w:rsidP="00C3789D">
      <w:pPr>
        <w:pStyle w:val="Flietext"/>
      </w:pPr>
      <w:r w:rsidRPr="00C3789D">
        <w:t>Bei der Vergabe von Aufträgen darf kein Unternehmen benachteiligt werden.</w:t>
      </w:r>
    </w:p>
    <w:p w14:paraId="59B02603" w14:textId="77777777" w:rsidR="00C3789D" w:rsidRPr="00C3789D" w:rsidRDefault="00C3789D" w:rsidP="00C3789D">
      <w:pPr>
        <w:pStyle w:val="Flietext"/>
        <w:spacing w:after="0"/>
        <w:rPr>
          <w:u w:val="single"/>
        </w:rPr>
      </w:pPr>
      <w:r w:rsidRPr="00C3789D">
        <w:rPr>
          <w:u w:val="single"/>
        </w:rPr>
        <w:t>Für Beschaffungen unterhalb des EU-Schwellenwertes gilt:</w:t>
      </w:r>
    </w:p>
    <w:p w14:paraId="4C8A2054" w14:textId="7F34AF69" w:rsidR="00C3789D" w:rsidRDefault="00630F0B" w:rsidP="00C3789D">
      <w:pPr>
        <w:pStyle w:val="Flietext"/>
        <w:spacing w:before="0"/>
      </w:pPr>
      <w:r>
        <w:t>Es</w:t>
      </w:r>
      <w:r w:rsidR="00C3789D" w:rsidRPr="00C3789D">
        <w:t xml:space="preserve"> dürfen auch Produkte bestimmter Marken oder Leistungen einer bestimmten Herkunft beschaff</w:t>
      </w:r>
      <w:r>
        <w:t>t werden</w:t>
      </w:r>
      <w:r w:rsidR="00C3789D" w:rsidRPr="00C3789D">
        <w:t>, wenn sachliche Gründe (wie beispielsweise kurze Lieferzeiten, geringe Transportkosten und/oder schnelle Reaktionszeiten) bestehen.</w:t>
      </w:r>
    </w:p>
    <w:p w14:paraId="6ED7C1E1" w14:textId="77777777" w:rsidR="00C3789D" w:rsidRDefault="00C3789D" w:rsidP="00C3789D">
      <w:pPr>
        <w:pStyle w:val="Flietext"/>
        <w:spacing w:before="0"/>
      </w:pPr>
      <w:r w:rsidRPr="00C3789D">
        <w:t>Gemäß dem Grundsatz der Gleichbehandlung sind allen Bietenden identische angemessene Angebots- und Bindefristen zu setzen, gleiche Wertungskriterien anzuwenden und unterschiedslose Informationen mitzuteilen.</w:t>
      </w:r>
    </w:p>
    <w:p w14:paraId="6863A493" w14:textId="649A8049" w:rsidR="00C3789D" w:rsidRPr="00C3789D" w:rsidRDefault="00630F0B" w:rsidP="00C3789D">
      <w:pPr>
        <w:pStyle w:val="Flietext"/>
        <w:spacing w:before="0"/>
      </w:pPr>
      <w:r>
        <w:t>Es besteht zudem die Verpflichtung</w:t>
      </w:r>
      <w:r w:rsidR="00C3789D" w:rsidRPr="00C3789D">
        <w:t>, die Grundsätze und Ziele des Mittelstandsförderungsgesetzes NRW bei mittelstandsrelevanten Beschaffungen zu berücksichtigen</w:t>
      </w:r>
      <w:r w:rsidR="00C3789D">
        <w:t>.</w:t>
      </w:r>
    </w:p>
    <w:p w14:paraId="0D32676D" w14:textId="68D9919C" w:rsidR="00630F0B" w:rsidRDefault="00630F0B" w:rsidP="00630F0B">
      <w:pPr>
        <w:pStyle w:val="Flietext"/>
      </w:pPr>
      <w:r>
        <w:t xml:space="preserve">Vergleiche dazu auch </w:t>
      </w:r>
      <w:bookmarkStart w:id="20" w:name="Gleichbehandlung_S"/>
      <w:r w:rsidR="005C19FA">
        <w:fldChar w:fldCharType="begin"/>
      </w:r>
      <w:r w:rsidR="00522492">
        <w:instrText>HYPERLINK  \l "Gleichbehandlung_FAQ"</w:instrText>
      </w:r>
      <w:r w:rsidR="005C19FA">
        <w:fldChar w:fldCharType="separate"/>
      </w:r>
      <w:r w:rsidRPr="005C19FA">
        <w:rPr>
          <w:rStyle w:val="Hyperlink"/>
        </w:rPr>
        <w:t>Anlage 4</w:t>
      </w:r>
      <w:bookmarkEnd w:id="20"/>
      <w:r w:rsidR="005C19FA">
        <w:fldChar w:fldCharType="end"/>
      </w:r>
      <w:r>
        <w:t>.</w:t>
      </w:r>
    </w:p>
    <w:p w14:paraId="7273903F" w14:textId="009C142D" w:rsidR="00C3789D" w:rsidRDefault="006614EB" w:rsidP="006614EB">
      <w:pPr>
        <w:pStyle w:val="berschrift3"/>
      </w:pPr>
      <w:r>
        <w:t>Stückelungsverbot</w:t>
      </w:r>
    </w:p>
    <w:p w14:paraId="75D94B3E" w14:textId="1BE06E4A" w:rsidR="006614EB" w:rsidRDefault="006614EB" w:rsidP="006614EB">
      <w:pPr>
        <w:pStyle w:val="Flietext"/>
      </w:pPr>
      <w:r>
        <w:t>Der EU-Schwellenwert darf nicht dadurch umgangen werden, dass ein sachlich zusammenhängender Bedarf durch getrennte Aufträge geteilt bzw. gestückelt wird.</w:t>
      </w:r>
    </w:p>
    <w:p w14:paraId="0D53DBD6" w14:textId="77276DEF" w:rsidR="006614EB" w:rsidRDefault="006614EB" w:rsidP="006614EB">
      <w:pPr>
        <w:pStyle w:val="Flietext"/>
      </w:pPr>
      <w:r>
        <w:t xml:space="preserve">Vergleiche dazu auch </w:t>
      </w:r>
      <w:hyperlink w:anchor="Stückelungsverbot_FAQ" w:history="1">
        <w:r w:rsidRPr="005C19FA">
          <w:rPr>
            <w:rStyle w:val="Hyperlink"/>
          </w:rPr>
          <w:t>Anl</w:t>
        </w:r>
        <w:bookmarkStart w:id="21" w:name="Stückelungsverbot_S"/>
        <w:bookmarkEnd w:id="21"/>
        <w:r w:rsidRPr="005C19FA">
          <w:rPr>
            <w:rStyle w:val="Hyperlink"/>
          </w:rPr>
          <w:t>age 4</w:t>
        </w:r>
      </w:hyperlink>
      <w:r w:rsidRPr="005C19FA">
        <w:t>.</w:t>
      </w:r>
    </w:p>
    <w:tbl>
      <w:tblPr>
        <w:tblStyle w:val="Tabelle"/>
        <w:tblW w:w="5051" w:type="pct"/>
        <w:tblInd w:w="0" w:type="dxa"/>
        <w:tblCellMar>
          <w:top w:w="0" w:type="dxa"/>
          <w:left w:w="0" w:type="dxa"/>
          <w:bottom w:w="0" w:type="dxa"/>
          <w:right w:w="0" w:type="dxa"/>
        </w:tblCellMar>
        <w:tblLook w:val="0600" w:firstRow="0" w:lastRow="0" w:firstColumn="0" w:lastColumn="0" w:noHBand="1" w:noVBand="1"/>
      </w:tblPr>
      <w:tblGrid>
        <w:gridCol w:w="8591"/>
      </w:tblGrid>
      <w:tr w:rsidR="00E10794" w14:paraId="261D9599" w14:textId="77777777" w:rsidTr="00372843">
        <w:trPr>
          <w:trHeight w:val="3277"/>
        </w:trPr>
        <w:tc>
          <w:tcPr>
            <w:tcW w:w="8590" w:type="dxa"/>
            <w:tcBorders>
              <w:top w:val="nil"/>
              <w:left w:val="nil"/>
              <w:bottom w:val="nil"/>
              <w:right w:val="nil"/>
            </w:tcBorders>
            <w:shd w:val="clear" w:color="auto" w:fill="DCE3E7"/>
            <w:vAlign w:val="top"/>
          </w:tcPr>
          <w:p w14:paraId="1C633CBB" w14:textId="6518FD7A" w:rsidR="00372843" w:rsidRPr="00372843" w:rsidRDefault="00E10794" w:rsidP="00522996">
            <w:pPr>
              <w:pStyle w:val="Sonderformat"/>
              <w:numPr>
                <w:ilvl w:val="0"/>
                <w:numId w:val="0"/>
              </w:numPr>
              <w:ind w:left="454"/>
              <w:rPr>
                <w:b w:val="0"/>
                <w:bCs/>
              </w:rPr>
            </w:pPr>
            <w:r>
              <w:rPr>
                <w:noProof/>
                <w:lang w:eastAsia="de-DE"/>
              </w:rPr>
              <w:drawing>
                <wp:inline distT="0" distB="0" distL="0" distR="0" wp14:anchorId="79B8A5A4" wp14:editId="3BB76D2E">
                  <wp:extent cx="522605" cy="522605"/>
                  <wp:effectExtent l="0" t="0" r="0" b="0"/>
                  <wp:docPr id="14" name="Grafik 14" descr="Geöffnetes Buch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Geöffnetes Buch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522605" cy="522605"/>
                          </a:xfrm>
                          <a:prstGeom prst="rect">
                            <a:avLst/>
                          </a:prstGeom>
                        </pic:spPr>
                      </pic:pic>
                    </a:graphicData>
                  </a:graphic>
                </wp:inline>
              </w:drawing>
            </w:r>
            <w:r>
              <w:t xml:space="preserve">Es kann zudem für </w:t>
            </w:r>
            <w:r w:rsidRPr="00E10794">
              <w:t>Vergaben unterhalb des EU-Schwellenwertes die generelle Beachtung weiterer Vergabegrundsätze, die über den Wortlaut des ab dem 01. Januar 2026 geltenden § 75a GO NRW hinausgehen, bestimmt werden. Schränken diese Regelungen die Durchführung von Vergaben ein, sind sie gemäß § 75a Abs. 2 GO NRW in Form einer Satzung zu erlas</w:t>
            </w:r>
            <w:r>
              <w:t>sen.</w:t>
            </w:r>
            <w:r w:rsidR="00522996">
              <w:br/>
            </w:r>
            <w:r w:rsidRPr="00E10794">
              <w:rPr>
                <w:bCs/>
              </w:rPr>
              <w:t xml:space="preserve">Eine </w:t>
            </w:r>
            <w:r>
              <w:rPr>
                <w:bCs/>
              </w:rPr>
              <w:t xml:space="preserve">Einzelfallentscheidung zu Anforderungen </w:t>
            </w:r>
            <w:r w:rsidRPr="006614EB">
              <w:rPr>
                <w:bCs/>
              </w:rPr>
              <w:t>an Beschaffungskriterien (wie beispielsweise Nachhaltigkeitskriterien) unterliegt nicht dem Formerfordernis</w:t>
            </w:r>
            <w:r>
              <w:rPr>
                <w:bCs/>
              </w:rPr>
              <w:t xml:space="preserve"> einer Satzung (vgl. dazu </w:t>
            </w:r>
            <w:r w:rsidRPr="005C19FA">
              <w:rPr>
                <w:bCs/>
              </w:rPr>
              <w:t xml:space="preserve">auch </w:t>
            </w:r>
            <w:bookmarkStart w:id="22" w:name="Nachhaltigkeit_S"/>
            <w:r w:rsidR="005C19FA" w:rsidRPr="005C19FA">
              <w:rPr>
                <w:b w:val="0"/>
                <w:bCs/>
              </w:rPr>
              <w:fldChar w:fldCharType="begin"/>
            </w:r>
            <w:r w:rsidR="00522492">
              <w:rPr>
                <w:b w:val="0"/>
                <w:bCs/>
              </w:rPr>
              <w:instrText>HYPERLINK  \l "Nachhaltigkeit_FAQ"</w:instrText>
            </w:r>
            <w:r w:rsidR="005C19FA" w:rsidRPr="005C19FA">
              <w:rPr>
                <w:b w:val="0"/>
                <w:bCs/>
              </w:rPr>
            </w:r>
            <w:r w:rsidR="005C19FA" w:rsidRPr="005C19FA">
              <w:rPr>
                <w:b w:val="0"/>
                <w:bCs/>
              </w:rPr>
              <w:fldChar w:fldCharType="separate"/>
            </w:r>
            <w:r w:rsidRPr="005C19FA">
              <w:rPr>
                <w:rStyle w:val="Hyperlink"/>
                <w:bCs/>
              </w:rPr>
              <w:t>Anlage 4</w:t>
            </w:r>
            <w:bookmarkEnd w:id="22"/>
            <w:r w:rsidR="005C19FA" w:rsidRPr="005C19FA">
              <w:rPr>
                <w:b w:val="0"/>
                <w:bCs/>
              </w:rPr>
              <w:fldChar w:fldCharType="end"/>
            </w:r>
            <w:r>
              <w:rPr>
                <w:bCs/>
              </w:rPr>
              <w:t>)</w:t>
            </w:r>
          </w:p>
        </w:tc>
      </w:tr>
    </w:tbl>
    <w:p w14:paraId="29F63258" w14:textId="4EA9DCF6" w:rsidR="006614EB" w:rsidRDefault="006614EB" w:rsidP="006614EB">
      <w:pPr>
        <w:pStyle w:val="berschrift3"/>
      </w:pPr>
      <w:r>
        <w:t>Vergaben oberhalb der EU-Schwellenwerte</w:t>
      </w:r>
    </w:p>
    <w:p w14:paraId="2B040658" w14:textId="4AAB01CC" w:rsidR="006614EB" w:rsidRDefault="006614EB" w:rsidP="006614EB">
      <w:pPr>
        <w:pStyle w:val="Flietext"/>
      </w:pPr>
      <w:r>
        <w:t xml:space="preserve">Für Vergaben oberhalb der EU-Schwellenwerte gelten </w:t>
      </w:r>
      <w:r w:rsidRPr="006614EB">
        <w:rPr>
          <w:u w:val="single"/>
        </w:rPr>
        <w:t>zusätzlich</w:t>
      </w:r>
      <w:r>
        <w:t xml:space="preserve"> folgende Grundsätze:</w:t>
      </w:r>
    </w:p>
    <w:p w14:paraId="74BFB923" w14:textId="38669815" w:rsidR="006614EB" w:rsidRDefault="006614EB" w:rsidP="006614EB">
      <w:pPr>
        <w:pStyle w:val="berschrift4"/>
      </w:pPr>
      <w:r>
        <w:t>Wettbewerbsgrundsatz</w:t>
      </w:r>
    </w:p>
    <w:p w14:paraId="3D32DD32" w14:textId="77777777" w:rsidR="006614EB" w:rsidRPr="00124DE0" w:rsidRDefault="006614EB" w:rsidP="006614EB">
      <w:pPr>
        <w:pStyle w:val="Flietext"/>
      </w:pPr>
      <w:r w:rsidRPr="00124DE0">
        <w:t>Liefer-, Dienst- und Bauleistungen sind grundsätzlich im Wettbewerb zwischen mehreren Bietenden zu vergeben.</w:t>
      </w:r>
    </w:p>
    <w:p w14:paraId="54D988EC" w14:textId="3549218E" w:rsidR="006614EB" w:rsidRDefault="006614EB" w:rsidP="006614EB">
      <w:pPr>
        <w:pStyle w:val="berschrift4"/>
      </w:pPr>
      <w:r>
        <w:t>Vorrang offener Vergabeverfahren</w:t>
      </w:r>
    </w:p>
    <w:p w14:paraId="7B9B3CF9" w14:textId="0458062C" w:rsidR="006614EB" w:rsidRDefault="006614EB" w:rsidP="006614EB">
      <w:pPr>
        <w:pStyle w:val="Flietext"/>
      </w:pPr>
      <w:r>
        <w:t>Der Vergabe von Aufträgen im Oberschwellenbereich muss ein offenes Verfahren oder ein nicht offenes Verfahren mit Teilnahmewettbewerb vorausgehen. Wenn Ausnahmetatbestände vorliegen, kann die Leistung im Oberschwellenbereich im Wege eines Verhandlungsverfahrens oder eines wettbewerblichen Dialogs vergeben werden. Das Vorliegen des jeweiligen Ausnahmetatbestandes im konkreten Einzelfall ist in der Vergabedokumentation festzuhalten. Mögliche Ausnahmetatbestände ergeben sich aus den einschlägigen Vergabeverordnungen (VgV und VOB/A/EU).</w:t>
      </w:r>
    </w:p>
    <w:p w14:paraId="278B037C" w14:textId="53F229AF" w:rsidR="006614EB" w:rsidRDefault="00E10794" w:rsidP="00E10794">
      <w:pPr>
        <w:pStyle w:val="berschrift4"/>
      </w:pPr>
      <w:r>
        <w:t>Vergabe nur an geeignete Unternehmen</w:t>
      </w:r>
    </w:p>
    <w:p w14:paraId="61F73B9B" w14:textId="77777777" w:rsidR="00E10794" w:rsidRDefault="00E10794" w:rsidP="00E10794">
      <w:pPr>
        <w:pStyle w:val="Flietext"/>
      </w:pPr>
      <w:r>
        <w:t>Die Auftragnehmenden sind nach Fachkunde, Leistungsfähigkeit und Zuverlässigkeit auszuwählen.</w:t>
      </w:r>
    </w:p>
    <w:p w14:paraId="108469C8" w14:textId="612CC456" w:rsidR="00E10794" w:rsidRDefault="00E10794" w:rsidP="00E10794">
      <w:pPr>
        <w:pStyle w:val="berschrift4"/>
      </w:pPr>
      <w:r>
        <w:t>Mittelstandsprinzip und Gebot der Losaufteilung</w:t>
      </w:r>
    </w:p>
    <w:p w14:paraId="1A14AF19" w14:textId="77777777" w:rsidR="00E10794" w:rsidRDefault="00E10794" w:rsidP="00E10794">
      <w:pPr>
        <w:pStyle w:val="Flietext"/>
      </w:pPr>
      <w:r>
        <w:t xml:space="preserve">Bei der Vergabe von Aufträgen sind mittelständische Interessen zu berücksichtigen (§ 5 Abs. 2 VOB/A-EU bzw. § 97 Abs. 4 GWB). Mittelständischen Interessen kann vornehmlich durch Losbildung in Fach- (getrennt nach Art oder Fachgebiet) oder </w:t>
      </w:r>
      <w:proofErr w:type="spellStart"/>
      <w:r>
        <w:t>Teillose</w:t>
      </w:r>
      <w:proofErr w:type="spellEnd"/>
      <w:r>
        <w:t xml:space="preserve"> (in der Menge aufgeteilt) entsprochen werden.</w:t>
      </w:r>
      <w:r>
        <w:br/>
        <w:t>Von der Losbildung kann abgewichen werden, wenn wirtschaftliche oder technische Gründe dies erfordern.</w:t>
      </w:r>
    </w:p>
    <w:p w14:paraId="5D3CE2AD" w14:textId="6C846BC0" w:rsidR="00E10794" w:rsidRDefault="00E10794" w:rsidP="00E10794">
      <w:pPr>
        <w:pStyle w:val="berschrift4"/>
      </w:pPr>
      <w:r>
        <w:t>Grundsatz der Produktneutralität</w:t>
      </w:r>
    </w:p>
    <w:p w14:paraId="3032DCAE" w14:textId="77777777" w:rsidR="00E10794" w:rsidRDefault="00E10794" w:rsidP="00E10794">
      <w:pPr>
        <w:pStyle w:val="Flietext"/>
      </w:pPr>
      <w:r w:rsidRPr="00672D9C">
        <w:t xml:space="preserve">Die Leistung ist grundsätzlich produktneutral zu beschreiben. Produkt- oder </w:t>
      </w:r>
      <w:proofErr w:type="spellStart"/>
      <w:r w:rsidRPr="00672D9C">
        <w:t>fabrikatspezifische</w:t>
      </w:r>
      <w:proofErr w:type="spellEnd"/>
      <w:r w:rsidRPr="00672D9C">
        <w:t xml:space="preserve"> Beschreibungen sind nur in Ausnahmefällen zulässig</w:t>
      </w:r>
      <w:r>
        <w:t>.</w:t>
      </w:r>
    </w:p>
    <w:p w14:paraId="71E5156F" w14:textId="77777777" w:rsidR="00E10794" w:rsidRDefault="00E10794" w:rsidP="00E10794">
      <w:pPr>
        <w:pStyle w:val="berschrift4"/>
      </w:pPr>
      <w:r>
        <w:t>Einbeziehung strategischer Ziele</w:t>
      </w:r>
    </w:p>
    <w:p w14:paraId="2A48DA2D" w14:textId="44DD1E6D" w:rsidR="00E10794" w:rsidRDefault="00E10794" w:rsidP="00E10794">
      <w:pPr>
        <w:pStyle w:val="Flietext"/>
      </w:pPr>
      <w:r>
        <w:t>Bei der Beschaffung sind die Qualität der Leistungen, Innovationen sowie Sozial- und Nachhaltigkeitskriterien zu berücksichtigen. Die Auftraggebenden können in jeder Phase des Vergabeverfahrens, von der Definition der Leistung über die Festlegung der Eignungs- und Zuschlagskriterien bis hin zur Vorgabe von Ausführungsbedingungen, qualitative, soziale, innovative sowie nachhaltige Aspekte einbeziehen. Aspekte der Energieeffizienz sind bei allen Beschaffungsvorgängen, die energieverbrauchsrelevante Leistungen betreffen, einzubeziehen. Ebenfalls sind die Belange von Menschen mit Behinderungen sowie Waren aus fairem Handel bei der Definition der Leistung zu berücksichtigen.</w:t>
      </w:r>
    </w:p>
    <w:p w14:paraId="7905F136" w14:textId="50432234" w:rsidR="00E10794" w:rsidRDefault="00E10794" w:rsidP="00E10794">
      <w:pPr>
        <w:pStyle w:val="berschrift2"/>
      </w:pPr>
      <w:bookmarkStart w:id="23" w:name="_Toc215054276"/>
      <w:r>
        <w:t>Zuständigkeiten</w:t>
      </w:r>
      <w:bookmarkEnd w:id="23"/>
    </w:p>
    <w:p w14:paraId="76B307E0" w14:textId="7549E180" w:rsidR="00E10794" w:rsidRDefault="00E10794" w:rsidP="00E10794">
      <w:pPr>
        <w:pStyle w:val="Flietext"/>
      </w:pPr>
      <w:r>
        <w:t>Die Zuständigkeiten im Vergabeverfahren sind den Darstellungen in Anlage 3 zu entnehmen.</w:t>
      </w:r>
    </w:p>
    <w:p w14:paraId="0DDE6906" w14:textId="77777777" w:rsidR="00725E06" w:rsidRDefault="00725E06" w:rsidP="00725E06">
      <w:pPr>
        <w:pStyle w:val="Flietext"/>
      </w:pPr>
    </w:p>
    <w:tbl>
      <w:tblPr>
        <w:tblStyle w:val="Tabelle"/>
        <w:tblW w:w="5102" w:type="pct"/>
        <w:tblInd w:w="0" w:type="dxa"/>
        <w:tblCellMar>
          <w:top w:w="0" w:type="dxa"/>
          <w:left w:w="0" w:type="dxa"/>
          <w:bottom w:w="0" w:type="dxa"/>
          <w:right w:w="0" w:type="dxa"/>
        </w:tblCellMar>
        <w:tblLook w:val="0600" w:firstRow="0" w:lastRow="0" w:firstColumn="0" w:lastColumn="0" w:noHBand="1" w:noVBand="1"/>
      </w:tblPr>
      <w:tblGrid>
        <w:gridCol w:w="8677"/>
      </w:tblGrid>
      <w:tr w:rsidR="00725E06" w14:paraId="3ACB1896" w14:textId="77777777" w:rsidTr="003A7E43">
        <w:trPr>
          <w:trHeight w:val="1599"/>
        </w:trPr>
        <w:tc>
          <w:tcPr>
            <w:tcW w:w="8505" w:type="dxa"/>
            <w:tcBorders>
              <w:top w:val="nil"/>
              <w:left w:val="nil"/>
              <w:bottom w:val="nil"/>
              <w:right w:val="nil"/>
            </w:tcBorders>
            <w:shd w:val="clear" w:color="auto" w:fill="DCE3E7"/>
            <w:vAlign w:val="top"/>
          </w:tcPr>
          <w:p w14:paraId="3595D453" w14:textId="77777777" w:rsidR="0053350A" w:rsidRDefault="0053350A" w:rsidP="0053350A">
            <w:pPr>
              <w:pStyle w:val="Feststellungqualifiziert"/>
              <w:numPr>
                <w:ilvl w:val="0"/>
                <w:numId w:val="0"/>
              </w:numPr>
              <w:ind w:left="641"/>
            </w:pPr>
          </w:p>
          <w:p w14:paraId="74CEC0E5" w14:textId="4FFF48AC" w:rsidR="00725E06" w:rsidRPr="00C21DF4" w:rsidRDefault="00725E06" w:rsidP="0043063D">
            <w:pPr>
              <w:pStyle w:val="Feststellungqualifiziert"/>
              <w:tabs>
                <w:tab w:val="clear" w:pos="567"/>
                <w:tab w:val="left" w:pos="426"/>
              </w:tabs>
              <w:ind w:right="284"/>
              <w:rPr>
                <w:i/>
                <w:iCs/>
              </w:rPr>
            </w:pPr>
            <w:r w:rsidRPr="00C21DF4">
              <w:rPr>
                <w:i/>
                <w:iCs/>
              </w:rPr>
              <w:t xml:space="preserve">Die Prozessablaufdarstellungen in der Anlage 3 zeigen den Ablauf des jeweiligen Vergabeverfahrens auf. </w:t>
            </w:r>
            <w:r w:rsidRPr="00C21DF4">
              <w:rPr>
                <w:i/>
                <w:iCs/>
              </w:rPr>
              <w:br/>
              <w:t>Den Verfahrensschritten sind noch die Zuständigkeiten entsprechend Ihren internen Vorgaben zuzuordnen.</w:t>
            </w:r>
          </w:p>
        </w:tc>
      </w:tr>
    </w:tbl>
    <w:p w14:paraId="60ED623B" w14:textId="77777777" w:rsidR="00725E06" w:rsidRDefault="00725E06" w:rsidP="00E10794">
      <w:pPr>
        <w:pStyle w:val="Flietext"/>
      </w:pPr>
    </w:p>
    <w:tbl>
      <w:tblPr>
        <w:tblStyle w:val="Tabelle"/>
        <w:tblW w:w="5000" w:type="pct"/>
        <w:tblInd w:w="0" w:type="dxa"/>
        <w:tblCellMar>
          <w:top w:w="0" w:type="dxa"/>
          <w:left w:w="0" w:type="dxa"/>
          <w:bottom w:w="0" w:type="dxa"/>
          <w:right w:w="0" w:type="dxa"/>
        </w:tblCellMar>
        <w:tblLook w:val="0600" w:firstRow="0" w:lastRow="0" w:firstColumn="0" w:lastColumn="0" w:noHBand="1" w:noVBand="1"/>
      </w:tblPr>
      <w:tblGrid>
        <w:gridCol w:w="8504"/>
      </w:tblGrid>
      <w:tr w:rsidR="00E10794" w14:paraId="4B37805C" w14:textId="77777777" w:rsidTr="005A6AFE">
        <w:tc>
          <w:tcPr>
            <w:tcW w:w="8494" w:type="dxa"/>
            <w:tcBorders>
              <w:top w:val="nil"/>
              <w:left w:val="nil"/>
              <w:bottom w:val="nil"/>
              <w:right w:val="nil"/>
            </w:tcBorders>
            <w:shd w:val="clear" w:color="auto" w:fill="DCE3E7"/>
            <w:vAlign w:val="top"/>
          </w:tcPr>
          <w:p w14:paraId="2D810F5F" w14:textId="0254C449" w:rsidR="00E10794" w:rsidRPr="006D7FCF" w:rsidRDefault="00E10794" w:rsidP="006E4326">
            <w:pPr>
              <w:pStyle w:val="Sonderformat"/>
              <w:numPr>
                <w:ilvl w:val="0"/>
                <w:numId w:val="0"/>
              </w:numPr>
              <w:spacing w:after="120"/>
              <w:ind w:left="454"/>
            </w:pPr>
            <w:r>
              <w:rPr>
                <w:noProof/>
                <w:lang w:eastAsia="de-DE"/>
              </w:rPr>
              <w:drawing>
                <wp:inline distT="0" distB="0" distL="0" distR="0" wp14:anchorId="159BF3B1" wp14:editId="1AE091CA">
                  <wp:extent cx="522605" cy="522605"/>
                  <wp:effectExtent l="0" t="0" r="0" b="0"/>
                  <wp:docPr id="13" name="Grafik 13" descr="Geöffnetes Buch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Geöffnetes Buch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522605" cy="522605"/>
                          </a:xfrm>
                          <a:prstGeom prst="rect">
                            <a:avLst/>
                          </a:prstGeom>
                        </pic:spPr>
                      </pic:pic>
                    </a:graphicData>
                  </a:graphic>
                </wp:inline>
              </w:drawing>
            </w:r>
            <w:r>
              <w:t>Gemäß Buchstabe E und I der „FAQ-Liste zu Kommunale Vergaben im Land Nordrhein-Westfalen ab dem 01. Januar 2026“</w:t>
            </w:r>
            <w:r w:rsidRPr="00DC22A9">
              <w:t xml:space="preserve"> </w:t>
            </w:r>
            <w:r>
              <w:t>bedarf es für organisationsinterne Vorgaben über Zuständigkeiten auch bei Vergaben unterhalb des EU-Schwellenwertes keiner Satzung. Wenn sich aber</w:t>
            </w:r>
            <w:r w:rsidRPr="00DC22A9">
              <w:t xml:space="preserve"> </w:t>
            </w:r>
            <w:r>
              <w:t>eine O</w:t>
            </w:r>
            <w:r w:rsidRPr="00DC22A9">
              <w:t>rganisationsentscheidung</w:t>
            </w:r>
            <w:r>
              <w:t xml:space="preserve"> zur Einbindung einer zentralen Vergabestelle bei Vergaben unterhalb des EU-Schwellenwertes</w:t>
            </w:r>
            <w:r w:rsidRPr="00DC22A9">
              <w:t xml:space="preserve"> </w:t>
            </w:r>
            <w:r>
              <w:t xml:space="preserve">nicht </w:t>
            </w:r>
            <w:r w:rsidRPr="00DC22A9">
              <w:t xml:space="preserve">nur auf die Zuständigkeit, </w:t>
            </w:r>
            <w:r>
              <w:t>sondern</w:t>
            </w:r>
            <w:r w:rsidRPr="00DC22A9">
              <w:t xml:space="preserve"> </w:t>
            </w:r>
            <w:r>
              <w:t xml:space="preserve">auch </w:t>
            </w:r>
            <w:r w:rsidRPr="00DC22A9">
              <w:t>auf das Verfahren bezieht</w:t>
            </w:r>
            <w:r>
              <w:t>, ist</w:t>
            </w:r>
            <w:r w:rsidRPr="00DC22A9">
              <w:t xml:space="preserve"> eine Satzung erforderlich</w:t>
            </w:r>
            <w:r>
              <w:t>.</w:t>
            </w:r>
            <w:r w:rsidR="007A7FA3">
              <w:br/>
            </w:r>
          </w:p>
        </w:tc>
      </w:tr>
    </w:tbl>
    <w:p w14:paraId="2B4422E3" w14:textId="5A2C856C" w:rsidR="00E10794" w:rsidRDefault="00E10794" w:rsidP="00E10794">
      <w:pPr>
        <w:pStyle w:val="berschrift2"/>
      </w:pPr>
      <w:bookmarkStart w:id="24" w:name="_Toc215054277"/>
      <w:r>
        <w:t>Binnenmarktrelevanz</w:t>
      </w:r>
      <w:bookmarkEnd w:id="24"/>
    </w:p>
    <w:p w14:paraId="0023B269" w14:textId="77777777" w:rsidR="00E10794" w:rsidRDefault="00E10794" w:rsidP="00E10794">
      <w:pPr>
        <w:pStyle w:val="Flietext"/>
      </w:pPr>
      <w:r>
        <w:t>Binnenmarktrelevanz bedeutet, dass die Erteilung eines öffentlichen Auftrags für Mitgliedstaaten aus dem EU-Binnenmarkt interessant sein kann.</w:t>
      </w:r>
    </w:p>
    <w:p w14:paraId="74800AEE" w14:textId="77777777" w:rsidR="00E10794" w:rsidRDefault="00E10794" w:rsidP="00E10794">
      <w:pPr>
        <w:pStyle w:val="Flietext"/>
      </w:pPr>
      <w:r>
        <w:t>Letztlich hat jeweils eine Einzelfallprüfung stattzufinden, wobei Sachverhalte wie</w:t>
      </w:r>
    </w:p>
    <w:p w14:paraId="2BD7C867" w14:textId="46446D08" w:rsidR="00E10794" w:rsidRDefault="00E10794" w:rsidP="00E10794">
      <w:pPr>
        <w:pStyle w:val="FlietextAufzhlung"/>
      </w:pPr>
      <w:r>
        <w:t>der Auftragsgegenstand,</w:t>
      </w:r>
    </w:p>
    <w:p w14:paraId="2D7ACD88" w14:textId="45A7FA6F" w:rsidR="00E10794" w:rsidRDefault="00E10794" w:rsidP="00E10794">
      <w:pPr>
        <w:pStyle w:val="FlietextAufzhlung"/>
      </w:pPr>
      <w:r>
        <w:t>der geschätzte Auftragswert,</w:t>
      </w:r>
    </w:p>
    <w:p w14:paraId="0F3C2EB9" w14:textId="62689FA7" w:rsidR="00E10794" w:rsidRDefault="00E10794" w:rsidP="00E10794">
      <w:pPr>
        <w:pStyle w:val="FlietextAufzhlung"/>
      </w:pPr>
      <w:r>
        <w:t>die Besonderheiten des betreffenden Sektors (z.B. Größe und Struktur des Marktes, wirtschaftliche Gepflogenheiten) sowie</w:t>
      </w:r>
    </w:p>
    <w:p w14:paraId="3990A510" w14:textId="5D670544" w:rsidR="00E10794" w:rsidRDefault="00E10794" w:rsidP="00E10794">
      <w:pPr>
        <w:pStyle w:val="FlietextAufzhlung"/>
      </w:pPr>
      <w:r>
        <w:t>die geografische Lage des Ortes der Leistungserbringung</w:t>
      </w:r>
    </w:p>
    <w:p w14:paraId="2B4AAD74" w14:textId="73FE2793" w:rsidR="00AC44D6" w:rsidRDefault="00AC44D6" w:rsidP="00AC44D6">
      <w:pPr>
        <w:pStyle w:val="FlietextAufzhlung"/>
        <w:numPr>
          <w:ilvl w:val="0"/>
          <w:numId w:val="0"/>
        </w:numPr>
      </w:pPr>
      <w:r>
        <w:t>zu berücksichtigen sind.</w:t>
      </w:r>
    </w:p>
    <w:p w14:paraId="67CF6AC4" w14:textId="0CF0E1C5" w:rsidR="00AC44D6" w:rsidRDefault="00AC44D6" w:rsidP="00AC44D6">
      <w:pPr>
        <w:pStyle w:val="Flietext"/>
      </w:pPr>
      <w:r>
        <w:t xml:space="preserve">Als Beurteilungskriterium können zudem Angebotseingänge aus der Vergangenheit einbezogen werden, sofern </w:t>
      </w:r>
      <w:proofErr w:type="gramStart"/>
      <w:r>
        <w:t>diese vergleichbare Sachverhalte</w:t>
      </w:r>
      <w:proofErr w:type="gramEnd"/>
      <w:r>
        <w:t xml:space="preserve"> betreffen (vgl. dazu </w:t>
      </w:r>
      <w:r w:rsidRPr="004F28B9">
        <w:t xml:space="preserve">auch </w:t>
      </w:r>
      <w:bookmarkStart w:id="25" w:name="Binnenmarkt_S"/>
      <w:r w:rsidR="004F28B9" w:rsidRPr="004F28B9">
        <w:fldChar w:fldCharType="begin"/>
      </w:r>
      <w:r w:rsidR="00522492">
        <w:instrText>HYPERLINK  \l "Binnenmarkt_FAQ"</w:instrText>
      </w:r>
      <w:r w:rsidR="004F28B9" w:rsidRPr="004F28B9">
        <w:fldChar w:fldCharType="separate"/>
      </w:r>
      <w:r w:rsidRPr="004F28B9">
        <w:rPr>
          <w:rStyle w:val="Hyperlink"/>
        </w:rPr>
        <w:t>Anlage 4</w:t>
      </w:r>
      <w:bookmarkEnd w:id="25"/>
      <w:r w:rsidR="004F28B9" w:rsidRPr="004F28B9">
        <w:fldChar w:fldCharType="end"/>
      </w:r>
      <w:r w:rsidRPr="004F28B9">
        <w:t>).</w:t>
      </w:r>
    </w:p>
    <w:p w14:paraId="79056F00" w14:textId="41860A50" w:rsidR="00AC44D6" w:rsidRPr="00AC44D6" w:rsidRDefault="00AC44D6" w:rsidP="00AC44D6">
      <w:pPr>
        <w:pStyle w:val="Flietext"/>
      </w:pPr>
      <w:r w:rsidRPr="00AC44D6">
        <w:t xml:space="preserve">Ist eine Beschaffung unterhalb des EU-Schwellenwertes per Direktauftrag oder in einem nicht offenen Verfahren beabsichtigt und liegt zudem Binnenmarktrelevanz vor, ergeben sich Bekanntmachungspflichten (vgl. dazu </w:t>
      </w:r>
      <w:bookmarkStart w:id="26" w:name="Anlage_3_S"/>
      <w:r w:rsidR="004F28B9">
        <w:fldChar w:fldCharType="begin"/>
      </w:r>
      <w:r w:rsidR="004F28B9">
        <w:instrText>HYPERLINK  \l "Anlage_3"</w:instrText>
      </w:r>
      <w:r w:rsidR="004F28B9">
        <w:fldChar w:fldCharType="separate"/>
      </w:r>
      <w:r w:rsidRPr="004F28B9">
        <w:rPr>
          <w:rStyle w:val="Hyperlink"/>
        </w:rPr>
        <w:t>Anlage 3</w:t>
      </w:r>
      <w:bookmarkEnd w:id="26"/>
      <w:r w:rsidR="004F28B9">
        <w:fldChar w:fldCharType="end"/>
      </w:r>
      <w:r w:rsidRPr="00AC44D6">
        <w:t>).</w:t>
      </w:r>
    </w:p>
    <w:p w14:paraId="60803980" w14:textId="77777777" w:rsidR="00AC44D6" w:rsidRDefault="00AC44D6" w:rsidP="00AC44D6">
      <w:pPr>
        <w:pStyle w:val="Flietext"/>
      </w:pPr>
      <w:r>
        <w:t>Darüber hinaus haben die Auftraggebenden die allgemeinen Grundsätze des Vergaberechts zu beachten.</w:t>
      </w:r>
    </w:p>
    <w:p w14:paraId="09DC4F70" w14:textId="36771CB3" w:rsidR="00E10794" w:rsidRDefault="00AC44D6" w:rsidP="00AC44D6">
      <w:pPr>
        <w:pStyle w:val="berschrift2"/>
      </w:pPr>
      <w:bookmarkStart w:id="27" w:name="_Toc215054278"/>
      <w:r>
        <w:t>Wettbewerbsregisterabfrage</w:t>
      </w:r>
      <w:bookmarkEnd w:id="27"/>
    </w:p>
    <w:p w14:paraId="479F7F44" w14:textId="04C3CB05" w:rsidR="00AC44D6" w:rsidRPr="00AC44D6" w:rsidRDefault="00AC44D6" w:rsidP="00AC44D6">
      <w:pPr>
        <w:pStyle w:val="Flietext"/>
      </w:pPr>
      <w:r w:rsidRPr="00AC44D6">
        <w:t>Ab einem geschätzten Auftragswert von 30.000 Euro</w:t>
      </w:r>
      <w:r>
        <w:rPr>
          <w:rStyle w:val="Funotenzeichen"/>
        </w:rPr>
        <w:footnoteReference w:id="8"/>
      </w:r>
      <w:r w:rsidRPr="00AC44D6">
        <w:t xml:space="preserve"> ist vor der Erteilung des Zuschlags das Wettbewerbsregister abzufragen.</w:t>
      </w:r>
    </w:p>
    <w:p w14:paraId="4CE22620" w14:textId="77777777" w:rsidR="00AC44D6" w:rsidRDefault="00AC44D6" w:rsidP="00AC44D6">
      <w:pPr>
        <w:pStyle w:val="Flietext"/>
      </w:pPr>
      <w:r>
        <w:t>Unabhängig hiervon</w:t>
      </w:r>
      <w:r w:rsidRPr="0058245E">
        <w:t xml:space="preserve"> </w:t>
      </w:r>
      <w:r>
        <w:t xml:space="preserve">kann gem. § 6 Abs. 2 </w:t>
      </w:r>
      <w:proofErr w:type="spellStart"/>
      <w:r>
        <w:t>WRegG</w:t>
      </w:r>
      <w:proofErr w:type="spellEnd"/>
      <w:r w:rsidRPr="0058245E">
        <w:t xml:space="preserve"> das Wettbewerbsregister auch auf freiwilliger Basis </w:t>
      </w:r>
      <w:r>
        <w:t>abgefragt werden</w:t>
      </w:r>
      <w:r w:rsidRPr="0058245E">
        <w:t>.</w:t>
      </w:r>
    </w:p>
    <w:p w14:paraId="71E37EBE" w14:textId="2F30AB7D" w:rsidR="00AC44D6" w:rsidRDefault="00AC44D6" w:rsidP="00AC44D6">
      <w:pPr>
        <w:pStyle w:val="berschrift2"/>
      </w:pPr>
      <w:bookmarkStart w:id="28" w:name="_Toc215054279"/>
      <w:r>
        <w:t>Vieraugenprinzip</w:t>
      </w:r>
      <w:bookmarkEnd w:id="28"/>
    </w:p>
    <w:p w14:paraId="1D2917C7" w14:textId="77777777" w:rsidR="00AC44D6" w:rsidRPr="00AC44D6" w:rsidRDefault="00AC44D6" w:rsidP="00AC44D6">
      <w:pPr>
        <w:pStyle w:val="Flietext"/>
      </w:pPr>
      <w:r w:rsidRPr="00AC44D6">
        <w:t xml:space="preserve">Die Entscheidung über die Beschaffung von Leistungen, deren Wert 500 Euro übersteigt, ist gemäß § 11 </w:t>
      </w:r>
      <w:proofErr w:type="spellStart"/>
      <w:r w:rsidRPr="00AC44D6">
        <w:t>KorruptionsbG</w:t>
      </w:r>
      <w:proofErr w:type="spellEnd"/>
      <w:r w:rsidRPr="00AC44D6">
        <w:t xml:space="preserve"> von mindestens zwei Personen zu treffen.</w:t>
      </w:r>
    </w:p>
    <w:p w14:paraId="344B6222" w14:textId="282EE963" w:rsidR="00AC44D6" w:rsidRDefault="00AC44D6" w:rsidP="00AC44D6">
      <w:pPr>
        <w:pStyle w:val="berschrift2"/>
      </w:pPr>
      <w:bookmarkStart w:id="29" w:name="_Toc215054280"/>
      <w:r>
        <w:t>Verfahrensarten</w:t>
      </w:r>
      <w:bookmarkEnd w:id="29"/>
    </w:p>
    <w:p w14:paraId="31B8B224" w14:textId="44B01A90" w:rsidR="00AC44D6" w:rsidRDefault="00AC44D6" w:rsidP="00AC44D6">
      <w:pPr>
        <w:pStyle w:val="berschrift3"/>
      </w:pPr>
      <w:r>
        <w:t>Vergaben unterhalb des EU-Schwellenwertes</w:t>
      </w:r>
    </w:p>
    <w:p w14:paraId="54A723C3" w14:textId="0B1047DB" w:rsidR="00AC44D6" w:rsidRPr="00AC44D6" w:rsidRDefault="00AC44D6" w:rsidP="00AC44D6">
      <w:pPr>
        <w:pStyle w:val="Flietext"/>
      </w:pPr>
      <w:bookmarkStart w:id="30" w:name="_Ref212466310"/>
      <w:r w:rsidRPr="00AC44D6">
        <w:t xml:space="preserve">Für Vergaben unterhalb des EU-Schwellenwertes stehen folgende Verfahrensarten zur Verfügung </w:t>
      </w:r>
      <w:bookmarkEnd w:id="30"/>
      <w:r>
        <w:t xml:space="preserve">(vgl. dazu </w:t>
      </w:r>
      <w:r w:rsidRPr="004F28B9">
        <w:t xml:space="preserve">auch </w:t>
      </w:r>
      <w:bookmarkStart w:id="31" w:name="Verfahrensarten_S"/>
      <w:r w:rsidR="004F28B9" w:rsidRPr="004F28B9">
        <w:fldChar w:fldCharType="begin"/>
      </w:r>
      <w:r w:rsidR="00522492">
        <w:instrText>HYPERLINK  \l "Verhandlung_FAQ"</w:instrText>
      </w:r>
      <w:r w:rsidR="004F28B9" w:rsidRPr="004F28B9">
        <w:fldChar w:fldCharType="separate"/>
      </w:r>
      <w:r w:rsidRPr="004F28B9">
        <w:rPr>
          <w:rStyle w:val="Hyperlink"/>
        </w:rPr>
        <w:t>Anlage 4</w:t>
      </w:r>
      <w:bookmarkEnd w:id="31"/>
      <w:r w:rsidR="004F28B9" w:rsidRPr="004F28B9">
        <w:fldChar w:fldCharType="end"/>
      </w:r>
      <w:r>
        <w:t>):</w:t>
      </w:r>
    </w:p>
    <w:p w14:paraId="2B13E507" w14:textId="526D5C8C" w:rsidR="00AC44D6" w:rsidRPr="00AC44D6" w:rsidRDefault="00AC44D6" w:rsidP="00AC44D6">
      <w:pPr>
        <w:pStyle w:val="FlietextAufzhlung"/>
      </w:pPr>
      <w:r w:rsidRPr="00AC44D6">
        <w:t>Direktauftrag</w:t>
      </w:r>
      <w:r>
        <w:t>,</w:t>
      </w:r>
    </w:p>
    <w:p w14:paraId="61E1BEF4" w14:textId="35FC36AE" w:rsidR="00AC44D6" w:rsidRDefault="00AC44D6" w:rsidP="00AC44D6">
      <w:pPr>
        <w:pStyle w:val="FlietextAufzhlung"/>
      </w:pPr>
      <w:r w:rsidRPr="00AC44D6">
        <w:t xml:space="preserve">im Einzelfall zusätzlich die förmlichen Verfahren unterhalb des EU-Schwellenwertes (Öffentliche Ausschreibungen, Beschränkte Ausschreibungen (mit und ohne Teilnahmewettbewerb), Verhandlungsvergabe/Freihändige Vergabe (mit und ohne Teilnahmewettbewerb)) </w:t>
      </w:r>
      <w:r>
        <w:t>sowie</w:t>
      </w:r>
    </w:p>
    <w:p w14:paraId="35461AAE" w14:textId="563AC5E2" w:rsidR="00AC44D6" w:rsidRPr="00AC44D6" w:rsidRDefault="00AC44D6" w:rsidP="00AC44D6">
      <w:pPr>
        <w:pStyle w:val="FlietextAufzhlung"/>
      </w:pPr>
      <w:r>
        <w:t xml:space="preserve">im Einzelfall zusätzlich die förmlichen </w:t>
      </w:r>
      <w:r w:rsidR="00306B66">
        <w:t>V</w:t>
      </w:r>
      <w:r>
        <w:t>erfahren</w:t>
      </w:r>
      <w:r w:rsidRPr="00AC44D6">
        <w:t xml:space="preserve"> oberhalb des EU-Schwellenwertes</w:t>
      </w:r>
      <w:r>
        <w:t>.</w:t>
      </w:r>
    </w:p>
    <w:p w14:paraId="5D7A5695" w14:textId="5730422F" w:rsidR="00AC44D6" w:rsidRDefault="00AC44D6" w:rsidP="00AC44D6">
      <w:pPr>
        <w:pStyle w:val="Flietext"/>
      </w:pPr>
      <w:r w:rsidRPr="00AC44D6">
        <w:t xml:space="preserve">Als Kriterien für die Wahl der für die Beschaffung geeigneten Verfahrensart kommen beispielsweise der Auftragswert, die Schnelligkeit und/ oder die Wichtigkeit eines größtmöglichen Wettbewerbs in Betracht </w:t>
      </w:r>
      <w:r>
        <w:t xml:space="preserve">(vgl. dazu auch </w:t>
      </w:r>
      <w:hyperlink w:anchor="Verfahrensarten_FAQ" w:history="1">
        <w:r w:rsidRPr="004F28B9">
          <w:rPr>
            <w:rStyle w:val="Hyperlink"/>
          </w:rPr>
          <w:t>Anlage 4</w:t>
        </w:r>
      </w:hyperlink>
      <w:r>
        <w:t>).</w:t>
      </w:r>
    </w:p>
    <w:p w14:paraId="658A454D" w14:textId="77777777" w:rsidR="00AC44D6" w:rsidRDefault="00AC44D6" w:rsidP="00AC44D6">
      <w:pPr>
        <w:pStyle w:val="Flietext"/>
      </w:pPr>
    </w:p>
    <w:tbl>
      <w:tblPr>
        <w:tblStyle w:val="Tabelle"/>
        <w:tblW w:w="5000" w:type="pct"/>
        <w:tblInd w:w="0" w:type="dxa"/>
        <w:tblCellMar>
          <w:top w:w="0" w:type="dxa"/>
          <w:left w:w="0" w:type="dxa"/>
          <w:bottom w:w="0" w:type="dxa"/>
          <w:right w:w="0" w:type="dxa"/>
        </w:tblCellMar>
        <w:tblLook w:val="0600" w:firstRow="0" w:lastRow="0" w:firstColumn="0" w:lastColumn="0" w:noHBand="1" w:noVBand="1"/>
      </w:tblPr>
      <w:tblGrid>
        <w:gridCol w:w="8504"/>
      </w:tblGrid>
      <w:tr w:rsidR="00AC44D6" w14:paraId="78F026EE" w14:textId="77777777" w:rsidTr="005A6AFE">
        <w:tc>
          <w:tcPr>
            <w:tcW w:w="8494" w:type="dxa"/>
            <w:tcBorders>
              <w:top w:val="nil"/>
              <w:left w:val="nil"/>
              <w:bottom w:val="nil"/>
              <w:right w:val="nil"/>
            </w:tcBorders>
            <w:shd w:val="clear" w:color="auto" w:fill="DCE3E7"/>
            <w:vAlign w:val="top"/>
          </w:tcPr>
          <w:p w14:paraId="68AABBB6" w14:textId="60E47164" w:rsidR="00AC44D6" w:rsidRPr="006D7FCF" w:rsidRDefault="00AC44D6" w:rsidP="006E4326">
            <w:pPr>
              <w:pStyle w:val="Sonderformat"/>
              <w:numPr>
                <w:ilvl w:val="0"/>
                <w:numId w:val="0"/>
              </w:numPr>
              <w:spacing w:after="120"/>
              <w:ind w:left="454"/>
            </w:pPr>
            <w:r>
              <w:rPr>
                <w:noProof/>
                <w:lang w:eastAsia="de-DE"/>
              </w:rPr>
              <w:drawing>
                <wp:inline distT="0" distB="0" distL="0" distR="0" wp14:anchorId="7471979A" wp14:editId="44D1DD9D">
                  <wp:extent cx="522605" cy="522605"/>
                  <wp:effectExtent l="0" t="0" r="0" b="0"/>
                  <wp:docPr id="15" name="Grafik 15" descr="Geöffnetes Buch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Geöffnetes Buch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522605" cy="522605"/>
                          </a:xfrm>
                          <a:prstGeom prst="rect">
                            <a:avLst/>
                          </a:prstGeom>
                        </pic:spPr>
                      </pic:pic>
                    </a:graphicData>
                  </a:graphic>
                </wp:inline>
              </w:drawing>
            </w:r>
            <w:r>
              <w:t xml:space="preserve">Generelle Regelungen, die für Vergaben unterhalb des Schwellenwertes Wertgrenzen für die Wahl bestimmter Verfahrensarten bestimmen, sind gemäß Ziffer 5 und Buchstabe D </w:t>
            </w:r>
            <w:r w:rsidRPr="00F66036">
              <w:t>der „FAQ-Liste zu Kommunale Vergaben im Land Nordrhein-Westfalen ab dem 01. Januar 2026“</w:t>
            </w:r>
            <w:r>
              <w:t xml:space="preserve"> in Form einer Satzung zu beschließen.</w:t>
            </w:r>
            <w:r w:rsidR="003A7E43">
              <w:br/>
            </w:r>
          </w:p>
        </w:tc>
      </w:tr>
    </w:tbl>
    <w:p w14:paraId="3012754B" w14:textId="77777777" w:rsidR="00AC44D6" w:rsidRPr="00493833" w:rsidRDefault="00AC44D6" w:rsidP="005A6AFE">
      <w:pPr>
        <w:pStyle w:val="Flietext"/>
      </w:pPr>
    </w:p>
    <w:p w14:paraId="69621538" w14:textId="603A47AF" w:rsidR="00AC44D6" w:rsidRDefault="00AC44D6" w:rsidP="00AC44D6">
      <w:pPr>
        <w:pStyle w:val="berschrift3"/>
      </w:pPr>
      <w:r>
        <w:t>Vergaben oberhalb des EU-Schwellenwertes</w:t>
      </w:r>
    </w:p>
    <w:p w14:paraId="0D52171B" w14:textId="007C3A3D" w:rsidR="00AC44D6" w:rsidRPr="00AC44D6" w:rsidRDefault="00AC44D6" w:rsidP="00AC44D6">
      <w:pPr>
        <w:pStyle w:val="Flietext"/>
      </w:pPr>
      <w:r w:rsidRPr="00AC44D6">
        <w:t xml:space="preserve">Für Vergaben </w:t>
      </w:r>
      <w:r>
        <w:t>ob</w:t>
      </w:r>
      <w:r w:rsidRPr="00AC44D6">
        <w:t>erhalb des EU-Schwellenwertes stehen folgende Verfahrensarten zur Verfügung</w:t>
      </w:r>
      <w:r>
        <w:t>:</w:t>
      </w:r>
    </w:p>
    <w:p w14:paraId="4ED473E2" w14:textId="4A4ED7B4" w:rsidR="00AC44D6" w:rsidRDefault="00AC44D6" w:rsidP="00AC44D6">
      <w:pPr>
        <w:pStyle w:val="FlietextAufzhlung"/>
      </w:pPr>
      <w:r>
        <w:t>Offenes Verfahren,</w:t>
      </w:r>
    </w:p>
    <w:p w14:paraId="4443F98D" w14:textId="6E9E294F" w:rsidR="00AC44D6" w:rsidRDefault="00AC44D6" w:rsidP="00AC44D6">
      <w:pPr>
        <w:pStyle w:val="FlietextAufzhlung"/>
      </w:pPr>
      <w:r>
        <w:t>Nicht offenes Verfahren,</w:t>
      </w:r>
    </w:p>
    <w:p w14:paraId="7EC96D5C" w14:textId="77777777" w:rsidR="00AC44D6" w:rsidRDefault="00AC44D6" w:rsidP="00AC44D6">
      <w:pPr>
        <w:pStyle w:val="FlietextAufzhlung"/>
      </w:pPr>
      <w:r>
        <w:t>Verhandlungsverfahren mit und ohne Teilnahmewettbewerb,</w:t>
      </w:r>
    </w:p>
    <w:p w14:paraId="10756C25" w14:textId="77777777" w:rsidR="00AC44D6" w:rsidRDefault="00AC44D6" w:rsidP="00AC44D6">
      <w:pPr>
        <w:pStyle w:val="FlietextAufzhlung"/>
      </w:pPr>
      <w:r>
        <w:t>Wettbewerblicher Dialog,</w:t>
      </w:r>
    </w:p>
    <w:p w14:paraId="03C27587" w14:textId="77777777" w:rsidR="00AC44D6" w:rsidRDefault="00AC44D6" w:rsidP="00AC44D6">
      <w:pPr>
        <w:pStyle w:val="FlietextAufzhlung"/>
      </w:pPr>
      <w:r>
        <w:t>Innovationspartnerschaft.</w:t>
      </w:r>
    </w:p>
    <w:p w14:paraId="564AAD12" w14:textId="004F34DC" w:rsidR="00AC44D6" w:rsidRDefault="00CF35E7" w:rsidP="00CF35E7">
      <w:pPr>
        <w:pStyle w:val="berschrift2"/>
      </w:pPr>
      <w:bookmarkStart w:id="32" w:name="_Toc215054281"/>
      <w:r>
        <w:t>Einholung von Angeboten</w:t>
      </w:r>
      <w:bookmarkEnd w:id="32"/>
    </w:p>
    <w:p w14:paraId="47161D4E" w14:textId="5E245E33" w:rsidR="00CF35E7" w:rsidRDefault="00CF35E7" w:rsidP="00CF35E7">
      <w:pPr>
        <w:pStyle w:val="berschrift3"/>
      </w:pPr>
      <w:r>
        <w:t>Vergaben unterhalb des EU-Schwellenwertes</w:t>
      </w:r>
    </w:p>
    <w:p w14:paraId="64E09D0A" w14:textId="5A38E02B" w:rsidR="00CF35E7" w:rsidRDefault="00CF35E7" w:rsidP="00CF35E7">
      <w:pPr>
        <w:pStyle w:val="Flietext"/>
      </w:pPr>
      <w:r>
        <w:t xml:space="preserve">Bei Vergaben unterhalb des EU-Schwellenwertes darf die Angebotseinholung auch per E-Mail erfolgen (vgl. dazu </w:t>
      </w:r>
      <w:bookmarkStart w:id="33" w:name="Angebotseinholung"/>
      <w:r w:rsidR="004F28B9">
        <w:fldChar w:fldCharType="begin"/>
      </w:r>
      <w:r w:rsidR="00E12426">
        <w:instrText>HYPERLINK  \l "Angebotseinholung_FAQ"</w:instrText>
      </w:r>
      <w:r w:rsidR="004F28B9">
        <w:fldChar w:fldCharType="separate"/>
      </w:r>
      <w:r w:rsidRPr="004F28B9">
        <w:rPr>
          <w:rStyle w:val="Hyperlink"/>
        </w:rPr>
        <w:t>Anlage 4</w:t>
      </w:r>
      <w:bookmarkEnd w:id="33"/>
      <w:r w:rsidR="004F28B9">
        <w:fldChar w:fldCharType="end"/>
      </w:r>
      <w:r>
        <w:t>).</w:t>
      </w:r>
    </w:p>
    <w:p w14:paraId="68AA8FCC" w14:textId="77777777" w:rsidR="00CF35E7" w:rsidRDefault="00CF35E7" w:rsidP="00CF35E7">
      <w:pPr>
        <w:pStyle w:val="Flietext"/>
      </w:pPr>
    </w:p>
    <w:tbl>
      <w:tblPr>
        <w:tblStyle w:val="Tabelle"/>
        <w:tblW w:w="5000" w:type="pct"/>
        <w:tblInd w:w="0" w:type="dxa"/>
        <w:tblCellMar>
          <w:top w:w="0" w:type="dxa"/>
          <w:left w:w="0" w:type="dxa"/>
          <w:bottom w:w="0" w:type="dxa"/>
          <w:right w:w="0" w:type="dxa"/>
        </w:tblCellMar>
        <w:tblLook w:val="0600" w:firstRow="0" w:lastRow="0" w:firstColumn="0" w:lastColumn="0" w:noHBand="1" w:noVBand="1"/>
      </w:tblPr>
      <w:tblGrid>
        <w:gridCol w:w="8504"/>
      </w:tblGrid>
      <w:tr w:rsidR="00CF35E7" w14:paraId="3C9874E1" w14:textId="77777777" w:rsidTr="005A6AFE">
        <w:tc>
          <w:tcPr>
            <w:tcW w:w="8494" w:type="dxa"/>
            <w:tcBorders>
              <w:top w:val="nil"/>
              <w:left w:val="nil"/>
              <w:bottom w:val="nil"/>
              <w:right w:val="nil"/>
            </w:tcBorders>
            <w:shd w:val="clear" w:color="auto" w:fill="DCE3E7"/>
            <w:vAlign w:val="top"/>
          </w:tcPr>
          <w:p w14:paraId="4CFDB869" w14:textId="51AB06E3" w:rsidR="00CF35E7" w:rsidRPr="006D7FCF" w:rsidRDefault="00CF35E7" w:rsidP="006E4326">
            <w:pPr>
              <w:pStyle w:val="Sonderformat"/>
              <w:numPr>
                <w:ilvl w:val="0"/>
                <w:numId w:val="0"/>
              </w:numPr>
              <w:spacing w:after="120"/>
              <w:ind w:left="454"/>
            </w:pPr>
            <w:r>
              <w:rPr>
                <w:noProof/>
                <w:lang w:eastAsia="de-DE"/>
              </w:rPr>
              <w:drawing>
                <wp:inline distT="0" distB="0" distL="0" distR="0" wp14:anchorId="2946E4D6" wp14:editId="1FC5A9C8">
                  <wp:extent cx="522605" cy="522605"/>
                  <wp:effectExtent l="0" t="0" r="0" b="0"/>
                  <wp:docPr id="16" name="Grafik 16" descr="Geöffnetes Buch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Geöffnetes Buch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522605" cy="522605"/>
                          </a:xfrm>
                          <a:prstGeom prst="rect">
                            <a:avLst/>
                          </a:prstGeom>
                        </pic:spPr>
                      </pic:pic>
                    </a:graphicData>
                  </a:graphic>
                </wp:inline>
              </w:drawing>
            </w:r>
            <w:r>
              <w:t xml:space="preserve">Generelle Regelungen, dass für Vergaben unterhalb des Schwellenwertes ein bestimmtes Kommunikationsmittel – zum Beispiel eine Vergabeplattform – zu nutzen ist, sind gemäß Buchstabe H </w:t>
            </w:r>
            <w:r w:rsidRPr="00F66036">
              <w:t>der „FAQ-Liste zu Kommunale Vergaben im Land Nordrhein-Westfalen ab dem 01. Januar 2026“</w:t>
            </w:r>
            <w:r>
              <w:t xml:space="preserve"> in Form einer Satzung zu beschließen.</w:t>
            </w:r>
            <w:r w:rsidR="009C15D6">
              <w:br/>
            </w:r>
          </w:p>
        </w:tc>
      </w:tr>
    </w:tbl>
    <w:p w14:paraId="3FC8A252" w14:textId="4C8EEC4F" w:rsidR="00CF35E7" w:rsidRDefault="00CF35E7" w:rsidP="00CF35E7">
      <w:pPr>
        <w:pStyle w:val="berschrift3"/>
      </w:pPr>
      <w:r>
        <w:t>Vergaben oberhalb des EU-Schwellenwertes</w:t>
      </w:r>
    </w:p>
    <w:p w14:paraId="50090EB0" w14:textId="532DE850" w:rsidR="00CF35E7" w:rsidRDefault="00CF35E7" w:rsidP="00CF35E7">
      <w:pPr>
        <w:pStyle w:val="Flietext"/>
      </w:pPr>
      <w:r>
        <w:t>Für Vergaben oberhalb des EU-Schwellenwertes gilt:</w:t>
      </w:r>
    </w:p>
    <w:p w14:paraId="6DAEC6E4" w14:textId="77777777" w:rsidR="00CF35E7" w:rsidRDefault="00CF35E7" w:rsidP="00CF35E7">
      <w:pPr>
        <w:pStyle w:val="FlietextAufzhlung"/>
      </w:pPr>
      <w:r>
        <w:t xml:space="preserve">Das Vergabeverfahren bzw. der Teilnahmewettbewerb ist grundsätzlich elektronisch über </w:t>
      </w:r>
      <w:r w:rsidRPr="0087272E">
        <w:rPr>
          <w:color w:val="00B0F0"/>
        </w:rPr>
        <w:t>&lt;&lt;Bezeichnung des Vergabeportals bzw. der Vergabemanagementsoftware&gt;&gt;</w:t>
      </w:r>
      <w:r>
        <w:t xml:space="preserve"> durchzuführen.</w:t>
      </w:r>
    </w:p>
    <w:p w14:paraId="651114FB" w14:textId="77777777" w:rsidR="00CF35E7" w:rsidRDefault="00CF35E7" w:rsidP="00CF35E7">
      <w:pPr>
        <w:pStyle w:val="FlietextAufzhlung"/>
      </w:pPr>
      <w:r>
        <w:t xml:space="preserve">Auftragsbekanntmachungen, Vorinformationen, Vergabebekanntmachungen und Bekanntmachungen über Auftragsänderungen sind dem Amt für Veröffentlichungen der Europäischen Union mit elektronischen Mitteln zu übermitteln. Der Tag der Absendung ist nachzuweisen. </w:t>
      </w:r>
    </w:p>
    <w:p w14:paraId="5B5EE0A3" w14:textId="77777777" w:rsidR="00CF35E7" w:rsidRDefault="00CF35E7" w:rsidP="00CF35E7">
      <w:pPr>
        <w:pStyle w:val="FlietextAufzhlung"/>
      </w:pPr>
      <w:r>
        <w:t xml:space="preserve">Elektronisch übermittelte Angebote und Teilnahmeanträge werden grundsätzlich über das </w:t>
      </w:r>
      <w:r w:rsidRPr="0087272E">
        <w:rPr>
          <w:color w:val="00B0F0"/>
        </w:rPr>
        <w:t xml:space="preserve">&lt;&lt;Bezeichnung des Vergabeportals bzw. der Vergabemanagementsoftware&gt;&gt; </w:t>
      </w:r>
      <w:r>
        <w:t>entgegengenommen und bis zum Submissionstermin dort verschlüsselt aufbewahrt.</w:t>
      </w:r>
    </w:p>
    <w:p w14:paraId="6F0CECEC" w14:textId="5F013C17" w:rsidR="00CF35E7" w:rsidRDefault="00CF35E7" w:rsidP="00CF35E7">
      <w:pPr>
        <w:pStyle w:val="berschrift2"/>
      </w:pPr>
      <w:bookmarkStart w:id="34" w:name="_Toc215054282"/>
      <w:r>
        <w:t>Öffnung der Angebote</w:t>
      </w:r>
      <w:bookmarkEnd w:id="34"/>
    </w:p>
    <w:p w14:paraId="1C32D81E" w14:textId="77777777" w:rsidR="00CF35E7" w:rsidRDefault="00CF35E7" w:rsidP="00CF35E7">
      <w:pPr>
        <w:pStyle w:val="berschrift3"/>
      </w:pPr>
      <w:r>
        <w:t>Vergaben unterhalb des EU-Schwellenwertes</w:t>
      </w:r>
    </w:p>
    <w:p w14:paraId="57D5C0BF" w14:textId="6F10282B" w:rsidR="00CF35E7" w:rsidRPr="00CF35E7" w:rsidRDefault="00CF35E7" w:rsidP="00CF35E7">
      <w:pPr>
        <w:pStyle w:val="Flietext"/>
      </w:pPr>
      <w:r>
        <w:t xml:space="preserve">Für Vergaben unterhalb des EU-Schwellenwertes ist eine formale Angebotsöffnung bzw. ein Submissionstermin nicht erforderlich (vgl. </w:t>
      </w:r>
      <w:r w:rsidRPr="007A1B41">
        <w:t xml:space="preserve">dazu </w:t>
      </w:r>
      <w:bookmarkStart w:id="35" w:name="Angebotsöffnung_S"/>
      <w:r w:rsidR="007A1B41" w:rsidRPr="007A1B41">
        <w:fldChar w:fldCharType="begin"/>
      </w:r>
      <w:r w:rsidR="00E12426">
        <w:instrText>HYPERLINK  \l "Angebotseinholung_FAQ"</w:instrText>
      </w:r>
      <w:r w:rsidR="007A1B41" w:rsidRPr="007A1B41">
        <w:fldChar w:fldCharType="separate"/>
      </w:r>
      <w:r w:rsidRPr="007A1B41">
        <w:rPr>
          <w:rStyle w:val="Hyperlink"/>
        </w:rPr>
        <w:t>Anlage 4</w:t>
      </w:r>
      <w:bookmarkEnd w:id="35"/>
      <w:r w:rsidR="007A1B41" w:rsidRPr="007A1B41">
        <w:fldChar w:fldCharType="end"/>
      </w:r>
      <w:r w:rsidRPr="007A1B41">
        <w:t>).</w:t>
      </w:r>
    </w:p>
    <w:p w14:paraId="5E65FE87" w14:textId="77777777" w:rsidR="00E53EDB" w:rsidRDefault="00E53EDB" w:rsidP="00E53EDB">
      <w:pPr>
        <w:pStyle w:val="berschrift3"/>
      </w:pPr>
      <w:r>
        <w:t>Vergaben oberhalb des EU-Schwellenwertes</w:t>
      </w:r>
    </w:p>
    <w:p w14:paraId="252C528E" w14:textId="4E6043C5" w:rsidR="00CF35E7" w:rsidRDefault="00E53EDB" w:rsidP="00E53EDB">
      <w:pPr>
        <w:pStyle w:val="Flietext"/>
      </w:pPr>
      <w:r>
        <w:t>Für Vergaben oberhalb des EU-Schwellenwertes gilt:</w:t>
      </w:r>
    </w:p>
    <w:p w14:paraId="0FE8BD65" w14:textId="77777777" w:rsidR="00E53EDB" w:rsidRPr="00E53EDB" w:rsidRDefault="00E53EDB" w:rsidP="00E53EDB">
      <w:pPr>
        <w:pStyle w:val="FlietextAufzhlung"/>
      </w:pPr>
      <w:r w:rsidRPr="00E53EDB">
        <w:t xml:space="preserve">Die Angebotsöffnung führt die </w:t>
      </w:r>
      <w:r w:rsidRPr="00E53EDB">
        <w:rPr>
          <w:color w:val="00B0F0"/>
        </w:rPr>
        <w:t>&lt;&lt;Bezeichnung der Stelle&gt;&gt;</w:t>
      </w:r>
      <w:r w:rsidRPr="00E53EDB">
        <w:t xml:space="preserve"> unter Berücksichtigung des Vieraugenprinzips unverzüglich nach Ablauf der Angebotsfrist durch. Bietende sind nicht zugelassen.</w:t>
      </w:r>
    </w:p>
    <w:p w14:paraId="6EB67BDE" w14:textId="77777777" w:rsidR="00E53EDB" w:rsidRDefault="00E53EDB" w:rsidP="00E53EDB">
      <w:pPr>
        <w:pStyle w:val="FlietextAufzhlung"/>
      </w:pPr>
      <w:r>
        <w:t>Über die Submission ist eine Niederschrift zu fertigen. Diese Niederschrift ist von den teilnehmenden Bediensteten zu unterzeichnen.</w:t>
      </w:r>
    </w:p>
    <w:p w14:paraId="69BAEBFB" w14:textId="77777777" w:rsidR="00E53EDB" w:rsidRDefault="00E53EDB" w:rsidP="00E53EDB">
      <w:pPr>
        <w:pStyle w:val="FlietextAufzhlung"/>
      </w:pPr>
      <w:r>
        <w:t>Bei Bauleistungen ist den Bietenden das Submissionsergebnis gemäß den Vorgaben des § 14 Abs. 6 VOB/A-EU zur Verfügung zu stellen.</w:t>
      </w:r>
    </w:p>
    <w:p w14:paraId="5C08410E" w14:textId="1C18872F" w:rsidR="00E53EDB" w:rsidRDefault="00E53EDB" w:rsidP="00E53EDB">
      <w:pPr>
        <w:pStyle w:val="berschrift2"/>
      </w:pPr>
      <w:bookmarkStart w:id="36" w:name="_Toc215054283"/>
      <w:r>
        <w:t>Nachforderung von Unterlagen</w:t>
      </w:r>
      <w:bookmarkEnd w:id="36"/>
    </w:p>
    <w:p w14:paraId="75E527AA" w14:textId="77777777" w:rsidR="00E53EDB" w:rsidRDefault="00E53EDB" w:rsidP="00E53EDB">
      <w:pPr>
        <w:pStyle w:val="berschrift3"/>
      </w:pPr>
      <w:r>
        <w:t>Vergaben unterhalb des EU-Schwellenwertes</w:t>
      </w:r>
    </w:p>
    <w:p w14:paraId="053770E8" w14:textId="65438494" w:rsidR="00E53EDB" w:rsidRDefault="00E53EDB" w:rsidP="00E53EDB">
      <w:pPr>
        <w:pStyle w:val="Flietext"/>
      </w:pPr>
      <w:r>
        <w:t xml:space="preserve">Bei Vergaben unterhalb des EU-Schwellenwertes kann der </w:t>
      </w:r>
      <w:r w:rsidRPr="00E75BAD">
        <w:t xml:space="preserve">öffentliche Auftraggeber </w:t>
      </w:r>
      <w:r>
        <w:t>Bietende</w:t>
      </w:r>
      <w:r w:rsidRPr="00E75BAD">
        <w:t xml:space="preserve"> auffordern, fehlende Unterlagen zu übermitteln oder unvollständige oder fehlerhafte Unterlagen zu ergänzen, zu erläutern, zu vervollständigen oder zu korrigieren</w:t>
      </w:r>
      <w:r>
        <w:t>.</w:t>
      </w:r>
    </w:p>
    <w:p w14:paraId="088B7145" w14:textId="77777777" w:rsidR="00E53EDB" w:rsidRDefault="00E53EDB" w:rsidP="00E53EDB">
      <w:pPr>
        <w:pStyle w:val="berschrift3"/>
      </w:pPr>
      <w:r>
        <w:t>Vergaben oberhalb des EU-Schwellenwertes</w:t>
      </w:r>
    </w:p>
    <w:p w14:paraId="46549687" w14:textId="5543F3E5" w:rsidR="00E53EDB" w:rsidRDefault="00E53EDB" w:rsidP="00E53EDB">
      <w:pPr>
        <w:pStyle w:val="Flietext"/>
      </w:pPr>
      <w:r>
        <w:t>Für Vergaben oberhalb des EU-Schwellenwertes gilt:</w:t>
      </w:r>
    </w:p>
    <w:p w14:paraId="22D9CD9A" w14:textId="77777777" w:rsidR="00E53EDB" w:rsidRDefault="00E53EDB" w:rsidP="00E53EDB">
      <w:pPr>
        <w:pStyle w:val="FlietextAufzhlung"/>
      </w:pPr>
      <w:r>
        <w:t xml:space="preserve">Der öffentliche Auftraggeber muss Bietende, die für den Zuschlag in Betracht kommen, unter Einhaltung der Grundsätze der Transparenz und der Gleichbehandlung auffordern, fehlende, unvollständige oder fehlerhafte unternehmensbezogene Unterlagen - insbesondere Erklärungen, Angaben oder Nachweise - nachzureichen, zu vervollständigen oder zu korrigieren, oder fehlende oder unvollständige leistungsbezogene Unterlagen – insbesondere Erklärungen, Produkt- und sonstige Angaben oder Nachweise - nachzureichen oder zu vervollständigen. </w:t>
      </w:r>
    </w:p>
    <w:p w14:paraId="18B14345" w14:textId="77777777" w:rsidR="00E53EDB" w:rsidRDefault="00E53EDB" w:rsidP="00E53EDB">
      <w:pPr>
        <w:pStyle w:val="FlietextAufzhlung"/>
      </w:pPr>
      <w:r>
        <w:t>Die Möglichkeit zur Nachforderung von Unterlagen gilt nicht für die Nachforderung von leistungsbezogenen Unterlagen (z. B. Preisangaben, Verbräuche, Wartungskosten etc.), welche die Wirtschaftlichkeitsbewertung der Angebote anhand der Zuschlagskriterien betreffen und somit die Wertungsreihenfolge beeinflussen.</w:t>
      </w:r>
    </w:p>
    <w:p w14:paraId="636E7BFD" w14:textId="77777777" w:rsidR="00E53EDB" w:rsidRDefault="00E53EDB" w:rsidP="00E53EDB">
      <w:pPr>
        <w:pStyle w:val="FlietextAufzhlung"/>
      </w:pPr>
      <w:r>
        <w:t>Bei Nicht-Vorliegen der verlangten Unterlagen, Nachweise und Angaben können diese innerhalb einer angemessenen Frist nachgefordert werden. Die Frist soll sechs Kalendertage nicht überschreiten.</w:t>
      </w:r>
    </w:p>
    <w:p w14:paraId="20979585" w14:textId="77777777" w:rsidR="00E53EDB" w:rsidRDefault="00E53EDB" w:rsidP="00E53EDB">
      <w:pPr>
        <w:pStyle w:val="FlietextAufzhlung"/>
      </w:pPr>
      <w:r>
        <w:t>Das Unternehmen, welches die verlangten Nachweise nicht eingereicht hat bzw. der Nachforderung nicht nachgekommen ist, ist vom weiteren Vergabeverfahren auszuschließen.</w:t>
      </w:r>
    </w:p>
    <w:p w14:paraId="724FC569" w14:textId="77777777" w:rsidR="00E53EDB" w:rsidRDefault="00E53EDB" w:rsidP="00E53EDB">
      <w:pPr>
        <w:pStyle w:val="FlietextAufzhlung"/>
      </w:pPr>
      <w:r>
        <w:t>Auf die Nachforderung von Unterlagen, Nachweisen oder Preisangaben kann verzichtet werden, wenn dies in der Auftragsbekanntmachung oder den Vergabeunterlagen vorab so festgelegt wurde.</w:t>
      </w:r>
    </w:p>
    <w:p w14:paraId="7FB135F5" w14:textId="77777777" w:rsidR="0095655B" w:rsidRDefault="0095655B" w:rsidP="0095655B">
      <w:pPr>
        <w:pStyle w:val="FlietextAufzhlung"/>
        <w:numPr>
          <w:ilvl w:val="0"/>
          <w:numId w:val="0"/>
        </w:numPr>
        <w:ind w:left="568" w:hanging="284"/>
      </w:pPr>
    </w:p>
    <w:p w14:paraId="6439BB40" w14:textId="3BADB6C1" w:rsidR="00E53EDB" w:rsidRDefault="00E53EDB" w:rsidP="00E53EDB">
      <w:pPr>
        <w:pStyle w:val="berschrift2"/>
      </w:pPr>
      <w:bookmarkStart w:id="37" w:name="_Toc215054284"/>
      <w:r>
        <w:t>Verhandlung über eingereichte Angebote</w:t>
      </w:r>
      <w:bookmarkEnd w:id="37"/>
    </w:p>
    <w:p w14:paraId="3F51DD10" w14:textId="77777777" w:rsidR="00E53EDB" w:rsidRDefault="00E53EDB" w:rsidP="00E53EDB">
      <w:pPr>
        <w:pStyle w:val="berschrift3"/>
      </w:pPr>
      <w:r>
        <w:t>Vergaben unterhalb des EU-Schwellenwertes</w:t>
      </w:r>
    </w:p>
    <w:p w14:paraId="6262AFDE" w14:textId="1474A84D" w:rsidR="00E53EDB" w:rsidRPr="00E53EDB" w:rsidRDefault="00E53EDB" w:rsidP="00E53EDB">
      <w:pPr>
        <w:pStyle w:val="Flietext"/>
      </w:pPr>
      <w:bookmarkStart w:id="38" w:name="_Ref212466728"/>
      <w:r w:rsidRPr="00E53EDB">
        <w:t xml:space="preserve">Für Vergaben unterhalb des EU-Schwellenwertes gilt (vgl. dazu auch </w:t>
      </w:r>
      <w:bookmarkStart w:id="39" w:name="Verhandlung_S"/>
      <w:r w:rsidRPr="00E12426">
        <w:rPr>
          <w:rStyle w:val="Hyperlink"/>
        </w:rPr>
        <w:fldChar w:fldCharType="begin"/>
      </w:r>
      <w:r w:rsidR="00E12426">
        <w:rPr>
          <w:rStyle w:val="Hyperlink"/>
        </w:rPr>
        <w:instrText>HYPERLINK  \l "Verhandlung_FAQ"</w:instrText>
      </w:r>
      <w:r w:rsidRPr="00E12426">
        <w:rPr>
          <w:rStyle w:val="Hyperlink"/>
        </w:rPr>
      </w:r>
      <w:r w:rsidRPr="00E12426">
        <w:rPr>
          <w:rStyle w:val="Hyperlink"/>
        </w:rPr>
        <w:fldChar w:fldCharType="separate"/>
      </w:r>
      <w:r w:rsidRPr="00E12426">
        <w:rPr>
          <w:rStyle w:val="Hyperlink"/>
        </w:rPr>
        <w:t>Anlage 4</w:t>
      </w:r>
      <w:r w:rsidRPr="00E12426">
        <w:rPr>
          <w:rStyle w:val="Hyperlink"/>
        </w:rPr>
        <w:fldChar w:fldCharType="end"/>
      </w:r>
      <w:bookmarkEnd w:id="39"/>
      <w:r w:rsidRPr="00E53EDB">
        <w:t>):</w:t>
      </w:r>
      <w:bookmarkEnd w:id="38"/>
    </w:p>
    <w:p w14:paraId="7F01B54E" w14:textId="77777777" w:rsidR="00E53EDB" w:rsidRDefault="00E53EDB" w:rsidP="00E53EDB">
      <w:pPr>
        <w:pStyle w:val="FlietextAufzhlung"/>
      </w:pPr>
      <w:r>
        <w:t xml:space="preserve">Über Preise und sonstige Angebotsinhalte darf verhandelt werden. </w:t>
      </w:r>
    </w:p>
    <w:p w14:paraId="7F95737C" w14:textId="6D947519" w:rsidR="00E53EDB" w:rsidRDefault="00E53EDB" w:rsidP="00E53EDB">
      <w:pPr>
        <w:pStyle w:val="FlietextAufzhlung"/>
      </w:pPr>
      <w:r>
        <w:t>D</w:t>
      </w:r>
      <w:r w:rsidR="009E50C5">
        <w:t xml:space="preserve">ie </w:t>
      </w:r>
      <w:r>
        <w:t>Geschäfts- und Betriebsgeheimisse der Bietenden</w:t>
      </w:r>
      <w:r w:rsidR="009E50C5">
        <w:t xml:space="preserve"> sind dabei</w:t>
      </w:r>
      <w:r>
        <w:t xml:space="preserve"> zu wahren</w:t>
      </w:r>
      <w:r w:rsidRPr="002D47D5">
        <w:t>.</w:t>
      </w:r>
    </w:p>
    <w:p w14:paraId="6F237F16" w14:textId="77777777" w:rsidR="009E50C5" w:rsidRDefault="009E50C5" w:rsidP="009E50C5">
      <w:pPr>
        <w:pStyle w:val="berschrift3"/>
      </w:pPr>
      <w:r>
        <w:t>Vergaben oberhalb des EU-Schwellenwertes</w:t>
      </w:r>
    </w:p>
    <w:p w14:paraId="0DB1E39B" w14:textId="0FD07231" w:rsidR="00E53EDB" w:rsidRDefault="009E50C5" w:rsidP="009E50C5">
      <w:pPr>
        <w:pStyle w:val="Flietext"/>
      </w:pPr>
      <w:r>
        <w:t>Für Vergaben oberhalb des EU-Schwellenwertes gilt:</w:t>
      </w:r>
    </w:p>
    <w:p w14:paraId="25178DC2" w14:textId="2AB47FB3" w:rsidR="009E50C5" w:rsidRDefault="009E50C5" w:rsidP="009E50C5">
      <w:pPr>
        <w:pStyle w:val="FlietextAufzhlung"/>
      </w:pPr>
      <w:r>
        <w:t>Im Verhandlungsverfahren darf ü</w:t>
      </w:r>
      <w:r w:rsidRPr="005444DE">
        <w:t>ber Preise und sonstige Angebotsinhalte verhandelt werden. Dabei sind die Geschäfts- und Betriebsgeheimisse der Bietenden zu wahren</w:t>
      </w:r>
      <w:r>
        <w:t>.</w:t>
      </w:r>
      <w:r w:rsidRPr="005444DE">
        <w:t xml:space="preserve"> </w:t>
      </w:r>
      <w:r>
        <w:t>Bei anderen Verfahrensarten sind Nachverhandlungen unzulässig.</w:t>
      </w:r>
    </w:p>
    <w:p w14:paraId="4B0DF159" w14:textId="768B791A" w:rsidR="009E50C5" w:rsidRDefault="009E50C5" w:rsidP="009E50C5">
      <w:pPr>
        <w:pStyle w:val="berschrift2"/>
      </w:pPr>
      <w:bookmarkStart w:id="40" w:name="_Toc215054285"/>
      <w:r>
        <w:t>Aufhebung des Vergabeverfahrens</w:t>
      </w:r>
      <w:bookmarkEnd w:id="40"/>
    </w:p>
    <w:p w14:paraId="27391143" w14:textId="1280E037" w:rsidR="009E50C5" w:rsidRDefault="009E50C5" w:rsidP="009E50C5">
      <w:pPr>
        <w:pStyle w:val="berschrift3"/>
      </w:pPr>
      <w:r>
        <w:t>Vergaben unterhalb des EU-Schwellenwertes</w:t>
      </w:r>
    </w:p>
    <w:p w14:paraId="53580963" w14:textId="39F41DA3" w:rsidR="009E50C5" w:rsidRDefault="009E50C5" w:rsidP="009E50C5">
      <w:pPr>
        <w:pStyle w:val="Flietext"/>
      </w:pPr>
      <w:r>
        <w:t xml:space="preserve">Für Vergaben unterhalb des EU-Schwellenwertes gilt (vgl. dazu auch </w:t>
      </w:r>
      <w:bookmarkStart w:id="41" w:name="Aufhebung_S"/>
      <w:r w:rsidR="007A1B41" w:rsidRPr="007A1B41">
        <w:fldChar w:fldCharType="begin"/>
      </w:r>
      <w:r w:rsidR="00E12426">
        <w:instrText>HYPERLINK  \l "Aufhebung_FAQ"</w:instrText>
      </w:r>
      <w:r w:rsidR="007A1B41" w:rsidRPr="007A1B41">
        <w:fldChar w:fldCharType="separate"/>
      </w:r>
      <w:r w:rsidRPr="007A1B41">
        <w:rPr>
          <w:rStyle w:val="Hyperlink"/>
        </w:rPr>
        <w:t>Anlage 4</w:t>
      </w:r>
      <w:bookmarkEnd w:id="41"/>
      <w:r w:rsidR="007A1B41" w:rsidRPr="007A1B41">
        <w:fldChar w:fldCharType="end"/>
      </w:r>
      <w:r>
        <w:t>):</w:t>
      </w:r>
    </w:p>
    <w:p w14:paraId="7B45AB52" w14:textId="77777777" w:rsidR="009E50C5" w:rsidRDefault="009E50C5" w:rsidP="009E50C5">
      <w:pPr>
        <w:pStyle w:val="FlietextAufzhlung"/>
      </w:pPr>
      <w:r>
        <w:t>Gehen keine wirtschaftlichen Angebote ein oder bestehen andere schwerwiegende Gründe, darf die Beschaffung aufgehoben werden</w:t>
      </w:r>
      <w:r w:rsidRPr="002D47D5">
        <w:t>.</w:t>
      </w:r>
    </w:p>
    <w:p w14:paraId="3B66EB46" w14:textId="57087F9D" w:rsidR="009E50C5" w:rsidRDefault="009E50C5" w:rsidP="009E50C5">
      <w:pPr>
        <w:pStyle w:val="FlietextAufzhlung"/>
      </w:pPr>
      <w:r>
        <w:t>Es besteht keine Verpflichtung, einen Auftrag zu erteilen.</w:t>
      </w:r>
    </w:p>
    <w:p w14:paraId="71D65BE8" w14:textId="77777777" w:rsidR="009E50C5" w:rsidRDefault="009E50C5" w:rsidP="009E50C5">
      <w:pPr>
        <w:pStyle w:val="berschrift3"/>
      </w:pPr>
      <w:r>
        <w:t>Vergaben oberhalb des EU-Schwellenwertes</w:t>
      </w:r>
    </w:p>
    <w:p w14:paraId="441B469E" w14:textId="17874AF8" w:rsidR="009E50C5" w:rsidRDefault="009E50C5" w:rsidP="009E50C5">
      <w:pPr>
        <w:pStyle w:val="Flietext"/>
      </w:pPr>
      <w:r>
        <w:t>Für Vergaben oberhalb des EU-Schwellenwertes gilt:</w:t>
      </w:r>
    </w:p>
    <w:p w14:paraId="01774F31" w14:textId="77777777" w:rsidR="009E50C5" w:rsidRDefault="009E50C5" w:rsidP="009E50C5">
      <w:pPr>
        <w:pStyle w:val="FlietextAufzhlung"/>
      </w:pPr>
      <w:r>
        <w:t>Führt die Prüfung und Wertung der Angebote zum Ergebnis, dass kein wirtschaftliches Angebot vorliegt oder dass kein Angebot den Bewerbungsbedingungen der Leistungsbeschreibung entspricht, ist das Vergabeverfahren aufzuheben.</w:t>
      </w:r>
    </w:p>
    <w:p w14:paraId="5925C6BE" w14:textId="77777777" w:rsidR="009E50C5" w:rsidRDefault="009E50C5" w:rsidP="009E50C5">
      <w:pPr>
        <w:pStyle w:val="FlietextAufzhlung"/>
      </w:pPr>
      <w:r>
        <w:t>Die Entscheidung ist zu dokumentieren.</w:t>
      </w:r>
    </w:p>
    <w:p w14:paraId="19464CDB" w14:textId="77777777" w:rsidR="009E50C5" w:rsidRDefault="009E50C5" w:rsidP="009E50C5">
      <w:pPr>
        <w:pStyle w:val="FlietextAufzhlung"/>
      </w:pPr>
      <w:r>
        <w:t>Über die Aufhebung des Vergabeverfahrens sind die Bietenden unter Angabe der Gründe unverzüglich zu informieren.</w:t>
      </w:r>
    </w:p>
    <w:p w14:paraId="76E8932E" w14:textId="0C30F57F" w:rsidR="009E50C5" w:rsidRDefault="009E50C5" w:rsidP="009E50C5">
      <w:pPr>
        <w:pStyle w:val="berschrift2"/>
      </w:pPr>
      <w:bookmarkStart w:id="42" w:name="_Toc215054286"/>
      <w:r>
        <w:t>Zuschlag</w:t>
      </w:r>
      <w:bookmarkEnd w:id="42"/>
    </w:p>
    <w:p w14:paraId="2DB8E4F8" w14:textId="597DE59D" w:rsidR="009E50C5" w:rsidRDefault="009E50C5" w:rsidP="009E50C5">
      <w:pPr>
        <w:pStyle w:val="Flietext"/>
      </w:pPr>
      <w:r>
        <w:t>Unter Berücksichtigung der festgelegten Wertungskriterien ist das wirtschaftlichste Angebot auszuwählen.</w:t>
      </w:r>
    </w:p>
    <w:p w14:paraId="6F528740" w14:textId="1E31F933" w:rsidR="009E50C5" w:rsidRDefault="009E50C5" w:rsidP="009E50C5">
      <w:pPr>
        <w:pStyle w:val="Flietext"/>
      </w:pPr>
      <w:r>
        <w:t>Die unterlegenen Bietenden sind zu informieren.</w:t>
      </w:r>
    </w:p>
    <w:p w14:paraId="57225614" w14:textId="04C9862C" w:rsidR="009E50C5" w:rsidRDefault="009E50C5" w:rsidP="009E50C5">
      <w:pPr>
        <w:pStyle w:val="Flietext"/>
      </w:pPr>
      <w:r>
        <w:t xml:space="preserve">(vgl. dazu auch </w:t>
      </w:r>
      <w:bookmarkStart w:id="43" w:name="Zuschlag_S"/>
      <w:r w:rsidR="00296EBD" w:rsidRPr="00296EBD">
        <w:fldChar w:fldCharType="begin"/>
      </w:r>
      <w:r w:rsidR="00E12426">
        <w:instrText>HYPERLINK  \l "Zuschlag_FAQ"</w:instrText>
      </w:r>
      <w:r w:rsidR="00296EBD" w:rsidRPr="00296EBD">
        <w:fldChar w:fldCharType="separate"/>
      </w:r>
      <w:r w:rsidRPr="00296EBD">
        <w:rPr>
          <w:rStyle w:val="Hyperlink"/>
        </w:rPr>
        <w:t>Anlage 4</w:t>
      </w:r>
      <w:bookmarkEnd w:id="43"/>
      <w:r w:rsidR="00296EBD" w:rsidRPr="00296EBD">
        <w:fldChar w:fldCharType="end"/>
      </w:r>
      <w:r w:rsidRPr="00296EBD">
        <w:t>)</w:t>
      </w:r>
    </w:p>
    <w:p w14:paraId="02EDA58B" w14:textId="79373372" w:rsidR="009E50C5" w:rsidRDefault="009E50C5" w:rsidP="009E50C5">
      <w:pPr>
        <w:pStyle w:val="berschrift2"/>
      </w:pPr>
      <w:bookmarkStart w:id="44" w:name="_Toc215054287"/>
      <w:r>
        <w:t>Vergabestatistikmeldung</w:t>
      </w:r>
      <w:bookmarkEnd w:id="44"/>
    </w:p>
    <w:p w14:paraId="7DC39FF9" w14:textId="77777777" w:rsidR="009E50C5" w:rsidRDefault="009E50C5" w:rsidP="009E50C5">
      <w:pPr>
        <w:pStyle w:val="berschrift3"/>
      </w:pPr>
      <w:r>
        <w:t>Vergaben unterhalb des EU-Schwellenwertes</w:t>
      </w:r>
    </w:p>
    <w:p w14:paraId="403F6C74" w14:textId="72EE651E" w:rsidR="009E50C5" w:rsidRPr="009E50C5" w:rsidRDefault="009E50C5" w:rsidP="009E50C5">
      <w:pPr>
        <w:pStyle w:val="Flietext"/>
      </w:pPr>
      <w:r>
        <w:t>Beschaffungen unterhalb des EU-Schwellenwertes sind nicht meldepflichtig</w:t>
      </w:r>
      <w:r w:rsidR="00296EBD">
        <w:t xml:space="preserve"> </w:t>
      </w:r>
      <w:proofErr w:type="gramStart"/>
      <w:r w:rsidR="00296EBD">
        <w:t>( vgl.</w:t>
      </w:r>
      <w:proofErr w:type="gramEnd"/>
      <w:r w:rsidR="00296EBD">
        <w:t xml:space="preserve"> dazu auch </w:t>
      </w:r>
      <w:bookmarkStart w:id="45" w:name="Statistik_S"/>
      <w:r w:rsidR="00296EBD">
        <w:fldChar w:fldCharType="begin"/>
      </w:r>
      <w:r w:rsidR="00E12426">
        <w:instrText>HYPERLINK  \l "Statistik_FAQ"</w:instrText>
      </w:r>
      <w:r w:rsidR="00296EBD">
        <w:fldChar w:fldCharType="separate"/>
      </w:r>
      <w:r w:rsidR="00296EBD" w:rsidRPr="00296EBD">
        <w:rPr>
          <w:rStyle w:val="Hyperlink"/>
        </w:rPr>
        <w:t>Anlage 4</w:t>
      </w:r>
      <w:bookmarkEnd w:id="45"/>
      <w:r w:rsidR="00296EBD">
        <w:fldChar w:fldCharType="end"/>
      </w:r>
      <w:r w:rsidR="00296EBD">
        <w:t>).</w:t>
      </w:r>
    </w:p>
    <w:p w14:paraId="675BFD7D" w14:textId="03F2549F" w:rsidR="009E50C5" w:rsidRDefault="009E50C5" w:rsidP="009E50C5">
      <w:pPr>
        <w:pStyle w:val="berschrift3"/>
      </w:pPr>
      <w:r>
        <w:t>Vergaben oberhalb des EU-Schwellenwertes</w:t>
      </w:r>
    </w:p>
    <w:p w14:paraId="246B0FFA" w14:textId="54870D6C" w:rsidR="009E50C5" w:rsidRDefault="009E50C5" w:rsidP="009E50C5">
      <w:pPr>
        <w:pStyle w:val="Flietext"/>
      </w:pPr>
      <w:r>
        <w:t>Ab einem geschätzten Auftragswert von 25.000 Euro sind innerhalb von 60 Tagen nach der Erteilung des Zuschlags Informationen zu vergebenen Aufträgen und Konzessionen der Vergabestatik zu melden.</w:t>
      </w:r>
    </w:p>
    <w:p w14:paraId="0DECB485" w14:textId="04A7A246" w:rsidR="009E50C5" w:rsidRDefault="009E50C5" w:rsidP="009E50C5">
      <w:pPr>
        <w:pStyle w:val="berschrift2"/>
      </w:pPr>
      <w:bookmarkStart w:id="46" w:name="_Toc215054288"/>
      <w:r>
        <w:t>Dokumentation des Vergabeverfahrens</w:t>
      </w:r>
      <w:bookmarkEnd w:id="46"/>
    </w:p>
    <w:p w14:paraId="71780741" w14:textId="77777777" w:rsidR="009E50C5" w:rsidRDefault="009E50C5" w:rsidP="009E50C5">
      <w:pPr>
        <w:pStyle w:val="berschrift3"/>
      </w:pPr>
      <w:r>
        <w:t>Vergaben unterhalb des EU-Schwellenwertes</w:t>
      </w:r>
    </w:p>
    <w:p w14:paraId="24BB3FC0" w14:textId="25F7BE32" w:rsidR="009E50C5" w:rsidRDefault="009E50C5" w:rsidP="009E50C5">
      <w:pPr>
        <w:pStyle w:val="Flietext"/>
      </w:pPr>
      <w:r>
        <w:t xml:space="preserve">Für Vergaben unterhalb des EU-Schwellenwertes gilt (vgl. dazu </w:t>
      </w:r>
      <w:r w:rsidRPr="00296EBD">
        <w:t xml:space="preserve">auch </w:t>
      </w:r>
      <w:bookmarkStart w:id="47" w:name="Dokumentation_S"/>
      <w:r w:rsidR="00296EBD" w:rsidRPr="00296EBD">
        <w:fldChar w:fldCharType="begin"/>
      </w:r>
      <w:r w:rsidR="00E12426">
        <w:instrText>HYPERLINK  \l "Dokumentation_FAQ"</w:instrText>
      </w:r>
      <w:r w:rsidR="00296EBD" w:rsidRPr="00296EBD">
        <w:fldChar w:fldCharType="separate"/>
      </w:r>
      <w:r w:rsidRPr="00296EBD">
        <w:rPr>
          <w:rStyle w:val="Hyperlink"/>
        </w:rPr>
        <w:t>Anlage 4</w:t>
      </w:r>
      <w:bookmarkEnd w:id="47"/>
      <w:r w:rsidR="00296EBD" w:rsidRPr="00296EBD">
        <w:fldChar w:fldCharType="end"/>
      </w:r>
      <w:r w:rsidRPr="00296EBD">
        <w:t>):</w:t>
      </w:r>
    </w:p>
    <w:p w14:paraId="5A51C596" w14:textId="77777777" w:rsidR="009E50C5" w:rsidRDefault="009E50C5" w:rsidP="009E50C5">
      <w:pPr>
        <w:pStyle w:val="FlietextAufzhlung"/>
      </w:pPr>
      <w:r w:rsidRPr="003B2ED0">
        <w:t>Die Vergabedokumentation hat alle wesentlichen Entscheidungen, insbesondere alle Entscheidungen, die Zweifel an der Wahrung der Haushaltsgrundsätze und der Grundsätze der Gleichbehandlung und Transparenz aufkommen lassen könnten</w:t>
      </w:r>
      <w:r>
        <w:t>,</w:t>
      </w:r>
      <w:r w:rsidRPr="003B2ED0">
        <w:t xml:space="preserve"> zu enthalten</w:t>
      </w:r>
      <w:r>
        <w:t>.</w:t>
      </w:r>
    </w:p>
    <w:p w14:paraId="0E15E6AF" w14:textId="77777777" w:rsidR="009E50C5" w:rsidRPr="009E50C5" w:rsidRDefault="009E50C5" w:rsidP="009E50C5">
      <w:pPr>
        <w:pStyle w:val="FlietextAufzhlung"/>
      </w:pPr>
      <w:r w:rsidRPr="009E50C5">
        <w:t>Regelmäßig sind zu dokumentieren:</w:t>
      </w:r>
    </w:p>
    <w:p w14:paraId="793F7D38" w14:textId="77777777" w:rsidR="009E50C5" w:rsidRDefault="009E50C5" w:rsidP="009E50C5">
      <w:pPr>
        <w:pStyle w:val="FlietextAufzhlung"/>
        <w:numPr>
          <w:ilvl w:val="1"/>
          <w:numId w:val="5"/>
        </w:numPr>
      </w:pPr>
      <w:r w:rsidRPr="003B2ED0">
        <w:t>die eingeholten Angebote</w:t>
      </w:r>
      <w:r>
        <w:t>,</w:t>
      </w:r>
    </w:p>
    <w:p w14:paraId="13B3CFA6" w14:textId="77777777" w:rsidR="009E50C5" w:rsidRDefault="009E50C5" w:rsidP="009E50C5">
      <w:pPr>
        <w:pStyle w:val="FlietextAufzhlung"/>
        <w:numPr>
          <w:ilvl w:val="1"/>
          <w:numId w:val="5"/>
        </w:numPr>
      </w:pPr>
      <w:r w:rsidRPr="003B2ED0">
        <w:t xml:space="preserve">die Korrespondenz mit den Unternehmen </w:t>
      </w:r>
      <w:r>
        <w:t>und</w:t>
      </w:r>
    </w:p>
    <w:p w14:paraId="7431C1FB" w14:textId="77777777" w:rsidR="009E50C5" w:rsidRDefault="009E50C5" w:rsidP="009E50C5">
      <w:pPr>
        <w:pStyle w:val="FlietextAufzhlung"/>
        <w:numPr>
          <w:ilvl w:val="1"/>
          <w:numId w:val="5"/>
        </w:numPr>
      </w:pPr>
      <w:r w:rsidRPr="003B2ED0">
        <w:t>ob der Auftragnehmende in der Lage ist, den Auftrag auszuführen</w:t>
      </w:r>
      <w:r>
        <w:t>.</w:t>
      </w:r>
    </w:p>
    <w:p w14:paraId="33EBC09B" w14:textId="77777777" w:rsidR="009E50C5" w:rsidRPr="009E50C5" w:rsidRDefault="009E50C5" w:rsidP="009E50C5">
      <w:pPr>
        <w:pStyle w:val="FlietextAufzhlung"/>
      </w:pPr>
      <w:r w:rsidRPr="009E50C5">
        <w:t>Darüber hinaus können im Einzelfall beispielsweise folgende Sachverhalte vom Dokumentationsgebot betroffen sein:</w:t>
      </w:r>
    </w:p>
    <w:p w14:paraId="7648CF0D" w14:textId="77777777" w:rsidR="009E50C5" w:rsidRPr="009E50C5" w:rsidRDefault="009E50C5" w:rsidP="009E50C5">
      <w:pPr>
        <w:pStyle w:val="FlietextAufzhlung"/>
        <w:numPr>
          <w:ilvl w:val="1"/>
          <w:numId w:val="5"/>
        </w:numPr>
      </w:pPr>
      <w:r w:rsidRPr="009E50C5">
        <w:t>Auftragswertschätzung,</w:t>
      </w:r>
    </w:p>
    <w:p w14:paraId="623C1045" w14:textId="77777777" w:rsidR="009E50C5" w:rsidRDefault="009E50C5" w:rsidP="009E50C5">
      <w:pPr>
        <w:pStyle w:val="FlietextAufzhlung"/>
        <w:numPr>
          <w:ilvl w:val="1"/>
          <w:numId w:val="5"/>
        </w:numPr>
      </w:pPr>
      <w:r>
        <w:t>Wahl der Verfahrensart,</w:t>
      </w:r>
    </w:p>
    <w:p w14:paraId="35490C4C" w14:textId="77777777" w:rsidR="009E50C5" w:rsidRDefault="009E50C5" w:rsidP="009E50C5">
      <w:pPr>
        <w:pStyle w:val="FlietextAufzhlung"/>
        <w:numPr>
          <w:ilvl w:val="1"/>
          <w:numId w:val="5"/>
        </w:numPr>
      </w:pPr>
      <w:r>
        <w:t>Verzicht auf Vergleichsangebote,</w:t>
      </w:r>
    </w:p>
    <w:p w14:paraId="4E69824C" w14:textId="77777777" w:rsidR="009E50C5" w:rsidRDefault="009E50C5" w:rsidP="009E50C5">
      <w:pPr>
        <w:pStyle w:val="FlietextAufzhlung"/>
        <w:numPr>
          <w:ilvl w:val="1"/>
          <w:numId w:val="5"/>
        </w:numPr>
      </w:pPr>
      <w:r>
        <w:t>Verzicht auf Einholung von Eignungsnachweisen,</w:t>
      </w:r>
    </w:p>
    <w:p w14:paraId="40B86A69" w14:textId="77777777" w:rsidR="009E50C5" w:rsidRDefault="009E50C5" w:rsidP="009E50C5">
      <w:pPr>
        <w:pStyle w:val="FlietextAufzhlung"/>
        <w:numPr>
          <w:ilvl w:val="1"/>
          <w:numId w:val="5"/>
        </w:numPr>
      </w:pPr>
      <w:r>
        <w:t>produktspezifische Einkäufe,</w:t>
      </w:r>
    </w:p>
    <w:p w14:paraId="7DD71EF3" w14:textId="77777777" w:rsidR="009E50C5" w:rsidRPr="009E50C5" w:rsidRDefault="009E50C5" w:rsidP="009E50C5">
      <w:pPr>
        <w:pStyle w:val="FlietextAufzhlung"/>
        <w:numPr>
          <w:ilvl w:val="1"/>
          <w:numId w:val="5"/>
        </w:numPr>
      </w:pPr>
      <w:r w:rsidRPr="009E50C5">
        <w:t>Beauftragung regionaler Anbietender,</w:t>
      </w:r>
    </w:p>
    <w:p w14:paraId="40CB4431" w14:textId="77777777" w:rsidR="009E50C5" w:rsidRDefault="009E50C5" w:rsidP="009E50C5">
      <w:pPr>
        <w:pStyle w:val="FlietextAufzhlung"/>
        <w:numPr>
          <w:ilvl w:val="1"/>
          <w:numId w:val="5"/>
        </w:numPr>
      </w:pPr>
      <w:r>
        <w:t>Auswahl eines nicht preisgünstigsten Angebotes,</w:t>
      </w:r>
    </w:p>
    <w:p w14:paraId="5103E5A4" w14:textId="77777777" w:rsidR="009E50C5" w:rsidRPr="003B2ED0" w:rsidRDefault="009E50C5" w:rsidP="009E50C5">
      <w:pPr>
        <w:pStyle w:val="FlietextAufzhlung"/>
        <w:numPr>
          <w:ilvl w:val="1"/>
          <w:numId w:val="5"/>
        </w:numPr>
      </w:pPr>
      <w:r>
        <w:t>Rückgriffe auf allgemeine Leistungskataloge, wie z.B. Kataloge, Internetangebote.</w:t>
      </w:r>
    </w:p>
    <w:p w14:paraId="3469B855" w14:textId="77777777" w:rsidR="00EC43B7" w:rsidRDefault="00EC43B7" w:rsidP="00EC43B7">
      <w:pPr>
        <w:pStyle w:val="berschrift3"/>
      </w:pPr>
      <w:r>
        <w:t>Vergaben oberhalb des EU-Schwellenwertes</w:t>
      </w:r>
    </w:p>
    <w:p w14:paraId="29CC50C9" w14:textId="3C7FEFC8" w:rsidR="009E50C5" w:rsidRDefault="00EC43B7" w:rsidP="00EC43B7">
      <w:pPr>
        <w:pStyle w:val="Flietext"/>
      </w:pPr>
      <w:r>
        <w:t>Für Vergaben oberhalb des EU-Schwellenwertes gilt:</w:t>
      </w:r>
    </w:p>
    <w:p w14:paraId="6943275C" w14:textId="77777777" w:rsidR="00EC43B7" w:rsidRDefault="00EC43B7" w:rsidP="00EC43B7">
      <w:pPr>
        <w:pStyle w:val="FlietextAufzhlung"/>
      </w:pPr>
      <w:r>
        <w:t>Für jede Vergabe ist ein standardisierter Vergabevermerk anzufertigen.</w:t>
      </w:r>
    </w:p>
    <w:p w14:paraId="5049EFFA" w14:textId="77777777" w:rsidR="00EC43B7" w:rsidRDefault="00EC43B7" w:rsidP="00EC43B7">
      <w:pPr>
        <w:pStyle w:val="FlietextAufzhlung"/>
      </w:pPr>
      <w:r>
        <w:t>In diesem Vergabevermerk müssen die einzelnen Schritte des Verfahrens, die Maßnahmen, Feststellungen, Begründungen und Entscheidungen nachvollziehbar dokumentiert sein.</w:t>
      </w:r>
    </w:p>
    <w:p w14:paraId="3F8837D1" w14:textId="77777777" w:rsidR="00EC43B7" w:rsidRDefault="00EC43B7" w:rsidP="00EC43B7">
      <w:pPr>
        <w:pStyle w:val="FlietextAufzhlung"/>
      </w:pPr>
      <w:r>
        <w:t>Der Vergabevermerk ist begleitend zur Maßnahme durch die jeweils für den Verfahrensschritt zuständige Stelle fortlaufend fortzuschreiben und muss stets den aktuellen Stand des Vergabeverfahrens widerspiegeln.</w:t>
      </w:r>
    </w:p>
    <w:p w14:paraId="67D21947" w14:textId="77777777" w:rsidR="00EC43B7" w:rsidRDefault="00EC43B7" w:rsidP="00EC43B7">
      <w:pPr>
        <w:pStyle w:val="FlietextAufzhlung"/>
      </w:pPr>
      <w:r>
        <w:t>Der Vergabevermerk ist bedeutsam für die Kontrolle durch die Nachprüfungsbehörden und bei Aufforderung diesen zu übermitteln.</w:t>
      </w:r>
    </w:p>
    <w:p w14:paraId="1A2A2607" w14:textId="23ACF800" w:rsidR="00EC43B7" w:rsidRDefault="00EC43B7" w:rsidP="00EC43B7">
      <w:pPr>
        <w:pStyle w:val="berschrift3"/>
      </w:pPr>
      <w:r>
        <w:t>Vollständigkeit der Dokumentation</w:t>
      </w:r>
    </w:p>
    <w:p w14:paraId="46BFFE88" w14:textId="77777777" w:rsidR="00EC43B7" w:rsidRPr="00B30B8F" w:rsidRDefault="00EC43B7" w:rsidP="00EC43B7">
      <w:pPr>
        <w:pStyle w:val="Flietext"/>
      </w:pPr>
      <w:r>
        <w:t>Die Vergabedokumentation bzw. der Vergabevermerk zu</w:t>
      </w:r>
      <w:r w:rsidRPr="00B30B8F">
        <w:t xml:space="preserve"> Vergaben </w:t>
      </w:r>
      <w:r>
        <w:t>unter- und ober</w:t>
      </w:r>
      <w:r w:rsidRPr="00B30B8F">
        <w:t>halb der EU-Schwellenwerte</w:t>
      </w:r>
      <w:r>
        <w:t xml:space="preserve"> ist nach der Zuschlagserteilung der </w:t>
      </w:r>
      <w:r>
        <w:rPr>
          <w:color w:val="00B0F0"/>
        </w:rPr>
        <w:t xml:space="preserve">&lt;&lt;Bezeichnung der Stelle&gt;&gt; </w:t>
      </w:r>
      <w:r w:rsidRPr="004E2F58">
        <w:t>zur Verfügung zu stellen. Diese hat die Vollständigkeit der Dokumentation zu gewährleisten und die Dokumentationen zentral aufzubewahren.</w:t>
      </w:r>
    </w:p>
    <w:p w14:paraId="109F08B3" w14:textId="53CD8912" w:rsidR="00EC43B7" w:rsidRDefault="00EC43B7" w:rsidP="00EC43B7">
      <w:pPr>
        <w:pStyle w:val="berschrift2"/>
      </w:pPr>
      <w:bookmarkStart w:id="48" w:name="_Toc215054289"/>
      <w:r>
        <w:t>Beteiligung der örtlichen Rechnungsprüfung (falls vorhanden)</w:t>
      </w:r>
      <w:bookmarkEnd w:id="48"/>
    </w:p>
    <w:p w14:paraId="2964D785" w14:textId="77777777" w:rsidR="00EC43B7" w:rsidRDefault="00EC43B7" w:rsidP="00EC43B7">
      <w:pPr>
        <w:pStyle w:val="Flietext"/>
      </w:pPr>
      <w:r>
        <w:t xml:space="preserve">Die Beteiligung zur Prüfung von Vergabeverfahren der örtlichen Rechnungsprüfung der </w:t>
      </w:r>
      <w:r>
        <w:rPr>
          <w:color w:val="00B0F0"/>
        </w:rPr>
        <w:t>&lt;&lt;Musterkommune&gt;&gt;</w:t>
      </w:r>
      <w:r>
        <w:t xml:space="preserve"> richtet sich nach der Rechnungsprüfungsordnung der </w:t>
      </w:r>
      <w:r>
        <w:rPr>
          <w:color w:val="00B0F0"/>
        </w:rPr>
        <w:t>&lt;&lt;Musterkommune&gt;&gt;</w:t>
      </w:r>
      <w:r>
        <w:t>, dieser Dienstanweisung sowie der von der örtlichen Rechnungsprüfung erlassenen Vorlageregelungen.</w:t>
      </w:r>
    </w:p>
    <w:p w14:paraId="1CACDA8B" w14:textId="77777777" w:rsidR="00EC43B7" w:rsidRDefault="00EC43B7" w:rsidP="00EC43B7">
      <w:pPr>
        <w:pStyle w:val="Flietext"/>
      </w:pPr>
      <w:r>
        <w:t>Zur Prüfung der Vergaben sind der örtlichen Rechnungsprüfung die vollständigen Vergabeunterlagen, bestehend aus der Vergabedokumentation einschließlich der nicht berücksichtigten Angebote zur Verfügung zu stellen. Falls es sich um eine Vergabe mit Fördermittelbezug handelt, ist auch der Zuwendungsbescheid mit vorzulegen.</w:t>
      </w:r>
    </w:p>
    <w:p w14:paraId="2E48B614" w14:textId="77777777" w:rsidR="00EC43B7" w:rsidRDefault="00EC43B7" w:rsidP="00EC43B7">
      <w:pPr>
        <w:pStyle w:val="Flietext"/>
      </w:pPr>
      <w:r>
        <w:t xml:space="preserve">Werden bei der Vergabe und/oder Ausführung von Leistungen Verfehlungen i.S.v. § 3 </w:t>
      </w:r>
      <w:proofErr w:type="spellStart"/>
      <w:r>
        <w:t>KorruptionsbG</w:t>
      </w:r>
      <w:proofErr w:type="spellEnd"/>
      <w:r>
        <w:t xml:space="preserve"> NRW bekannt, so sind diese unverzüglich der örtlichen Rechnungsprüfung anzuzeigen.</w:t>
      </w:r>
    </w:p>
    <w:p w14:paraId="367DDDDB" w14:textId="77777777" w:rsidR="00EC43B7" w:rsidRDefault="00EC43B7" w:rsidP="00EC43B7">
      <w:pPr>
        <w:pStyle w:val="Flietext"/>
      </w:pPr>
      <w:r>
        <w:t>Vergabebeschwerden sind der örtlichen Rechnungsprüfung unverzüglich anzuzeigen.</w:t>
      </w:r>
    </w:p>
    <w:p w14:paraId="15B4E411" w14:textId="77777777" w:rsidR="00EC43B7" w:rsidRPr="00E55A53" w:rsidRDefault="00EC43B7" w:rsidP="00EC43B7">
      <w:pPr>
        <w:pStyle w:val="Flietext"/>
      </w:pPr>
      <w:r w:rsidRPr="00E55A53">
        <w:t>Die örtliche Rechnungsprüfung ist über die geplante Abnahme von Baumaßnahmen zu informieren. Ihr ist auf Wunsch die Teilnahme an den Terminen zu ermöglichen.</w:t>
      </w:r>
    </w:p>
    <w:p w14:paraId="579E1AEB" w14:textId="77777777" w:rsidR="00EC43B7" w:rsidRPr="00E55A53" w:rsidRDefault="00EC43B7" w:rsidP="00EC43B7">
      <w:pPr>
        <w:pStyle w:val="Flietext"/>
      </w:pPr>
      <w:r w:rsidRPr="00E55A53">
        <w:t>Schlussrechnungen von Bauleistungen sind der örtlichen Rechnungsprüfung vor der Leistung der Schlusszahlung vorzulegen.</w:t>
      </w:r>
    </w:p>
    <w:p w14:paraId="026D4CA0" w14:textId="77777777" w:rsidR="00EC43B7" w:rsidRDefault="00EC43B7" w:rsidP="00EC43B7">
      <w:pPr>
        <w:pStyle w:val="Flietext"/>
      </w:pPr>
    </w:p>
    <w:tbl>
      <w:tblPr>
        <w:tblStyle w:val="Tabelle"/>
        <w:tblW w:w="5250" w:type="pct"/>
        <w:tblInd w:w="0" w:type="dxa"/>
        <w:tblCellMar>
          <w:top w:w="0" w:type="dxa"/>
          <w:left w:w="0" w:type="dxa"/>
          <w:bottom w:w="0" w:type="dxa"/>
          <w:right w:w="0" w:type="dxa"/>
        </w:tblCellMar>
        <w:tblLook w:val="0600" w:firstRow="0" w:lastRow="0" w:firstColumn="0" w:lastColumn="0" w:noHBand="1" w:noVBand="1"/>
      </w:tblPr>
      <w:tblGrid>
        <w:gridCol w:w="8929"/>
      </w:tblGrid>
      <w:tr w:rsidR="00EC43B7" w14:paraId="78089708" w14:textId="77777777" w:rsidTr="00075752">
        <w:trPr>
          <w:trHeight w:val="1391"/>
        </w:trPr>
        <w:tc>
          <w:tcPr>
            <w:tcW w:w="8505" w:type="dxa"/>
            <w:tcBorders>
              <w:top w:val="nil"/>
              <w:left w:val="nil"/>
              <w:bottom w:val="nil"/>
              <w:right w:val="nil"/>
            </w:tcBorders>
            <w:shd w:val="clear" w:color="auto" w:fill="DCE3E7"/>
            <w:vAlign w:val="top"/>
          </w:tcPr>
          <w:p w14:paraId="53E16F9D" w14:textId="77777777" w:rsidR="00882B4E" w:rsidRPr="00882B4E" w:rsidRDefault="00882B4E" w:rsidP="00882B4E">
            <w:pPr>
              <w:pStyle w:val="Feststellungqualifiziert"/>
              <w:numPr>
                <w:ilvl w:val="0"/>
                <w:numId w:val="0"/>
              </w:numPr>
              <w:ind w:left="641"/>
              <w:rPr>
                <w:b/>
              </w:rPr>
            </w:pPr>
          </w:p>
          <w:p w14:paraId="65E0B18F" w14:textId="323A37E1" w:rsidR="00EC43B7" w:rsidRPr="006D7FCF" w:rsidRDefault="00EC43B7" w:rsidP="005740C3">
            <w:pPr>
              <w:pStyle w:val="Feststellungqualifiziert"/>
              <w:tabs>
                <w:tab w:val="clear" w:pos="567"/>
                <w:tab w:val="left" w:pos="709"/>
              </w:tabs>
              <w:ind w:right="284"/>
            </w:pPr>
            <w:r>
              <w:rPr>
                <w:iCs/>
              </w:rPr>
              <w:t xml:space="preserve">Die </w:t>
            </w:r>
            <w:r w:rsidRPr="00EC43B7">
              <w:rPr>
                <w:rStyle w:val="FlietextkursivZchn"/>
                <w:bCs/>
              </w:rPr>
              <w:t>Regelungen zur Beteiligung der örtlichen Rechnungsprüfung sind vorab mit der örtlichen Rechnungsprüfung abzustimmen und können von der Kommune auch in modifizierter Form und den örtlichen Begebenheiten entsprechend gefasst werde</w:t>
            </w:r>
            <w:r>
              <w:rPr>
                <w:rStyle w:val="FlietextkursivZchn"/>
                <w:bCs/>
              </w:rPr>
              <w:t>n.</w:t>
            </w:r>
          </w:p>
        </w:tc>
      </w:tr>
    </w:tbl>
    <w:p w14:paraId="7C97172C" w14:textId="321B1A31" w:rsidR="00EC43B7" w:rsidRDefault="00EC43B7" w:rsidP="00EC43B7">
      <w:pPr>
        <w:pStyle w:val="berschrift2"/>
      </w:pPr>
      <w:bookmarkStart w:id="49" w:name="_Toc215054290"/>
      <w:r>
        <w:t>Auftragsänderungen und Nachträge</w:t>
      </w:r>
      <w:bookmarkEnd w:id="49"/>
    </w:p>
    <w:p w14:paraId="4EED0D3D" w14:textId="77777777" w:rsidR="00EC43B7" w:rsidRDefault="00EC43B7" w:rsidP="00EC43B7">
      <w:pPr>
        <w:pStyle w:val="berschrift3"/>
      </w:pPr>
      <w:r>
        <w:t>Vergaben unterhalb des EU-Schwellenwertes</w:t>
      </w:r>
    </w:p>
    <w:p w14:paraId="7721BE0A" w14:textId="6191504D" w:rsidR="00EC43B7" w:rsidRDefault="00EC43B7" w:rsidP="00EC43B7">
      <w:pPr>
        <w:pStyle w:val="Flietext"/>
      </w:pPr>
      <w:r>
        <w:t xml:space="preserve">Für Vergaben unterhalb des EU-Schwellenwertes gilt (vgl. dazu </w:t>
      </w:r>
      <w:r w:rsidRPr="00296EBD">
        <w:t xml:space="preserve">auch </w:t>
      </w:r>
      <w:bookmarkStart w:id="50" w:name="Auftragsänderungen_S"/>
      <w:r w:rsidR="00296EBD" w:rsidRPr="00296EBD">
        <w:fldChar w:fldCharType="begin"/>
      </w:r>
      <w:r w:rsidR="00E12426">
        <w:instrText>HYPERLINK  \l "Auftragsänderungen_FAQ"</w:instrText>
      </w:r>
      <w:r w:rsidR="00296EBD" w:rsidRPr="00296EBD">
        <w:fldChar w:fldCharType="separate"/>
      </w:r>
      <w:r w:rsidRPr="00296EBD">
        <w:rPr>
          <w:rStyle w:val="Hyperlink"/>
        </w:rPr>
        <w:t>Anlage 4</w:t>
      </w:r>
      <w:bookmarkEnd w:id="50"/>
      <w:r w:rsidR="00296EBD" w:rsidRPr="00296EBD">
        <w:fldChar w:fldCharType="end"/>
      </w:r>
      <w:r w:rsidRPr="00296EBD">
        <w:t>):</w:t>
      </w:r>
    </w:p>
    <w:p w14:paraId="776C75C3" w14:textId="77777777" w:rsidR="00EC43B7" w:rsidRDefault="00EC43B7" w:rsidP="00EC43B7">
      <w:pPr>
        <w:pStyle w:val="FlietextAufzhlung"/>
      </w:pPr>
      <w:r>
        <w:t>Bestehende Verträge dürfen verlängert oder angepasst werden.</w:t>
      </w:r>
    </w:p>
    <w:p w14:paraId="16EEAF2E" w14:textId="77777777" w:rsidR="00EC43B7" w:rsidRDefault="00EC43B7" w:rsidP="00EC43B7">
      <w:pPr>
        <w:pStyle w:val="FlietextAufzhlung"/>
      </w:pPr>
      <w:r>
        <w:t>Dabei ist zu prüfen, ob weiterhin wirtschaftlich und sparsam gehandelt wird. Markterkundungen und neue Wettbewerbe sind möglich. Bestehen Anhaltspunkte, dass andere Unternehmen die Leistung wirtschaftlicher erbringen können, ist ein neuer Wettbewerb erforderlich.</w:t>
      </w:r>
    </w:p>
    <w:p w14:paraId="5DC33C92" w14:textId="77777777" w:rsidR="00EC43B7" w:rsidRDefault="00EC43B7" w:rsidP="00EC43B7">
      <w:pPr>
        <w:pStyle w:val="FlietextAufzhlung"/>
      </w:pPr>
      <w:r w:rsidRPr="00E129D3">
        <w:t>Wenn ein bestehender Auftrag durch eine Auftragsänderung oder Auftragsverlängerung den EU-Schwellenwert erreich</w:t>
      </w:r>
      <w:r>
        <w:t xml:space="preserve">t oder überschreitet und der Auftragswert nach § 3 VgV seriös geschätzt wurde, muss </w:t>
      </w:r>
      <w:r w:rsidRPr="00E129D3">
        <w:t>bei einer unvorhergesehenen Vertragsverlängerung oder -änderung kein neue</w:t>
      </w:r>
      <w:r>
        <w:t>r</w:t>
      </w:r>
      <w:r w:rsidRPr="00E129D3">
        <w:t xml:space="preserve"> Auftrag erteil</w:t>
      </w:r>
      <w:r>
        <w:t>t werden.</w:t>
      </w:r>
    </w:p>
    <w:p w14:paraId="615601F0" w14:textId="77777777" w:rsidR="00EC43B7" w:rsidRDefault="00EC43B7" w:rsidP="00EC43B7">
      <w:pPr>
        <w:pStyle w:val="berschrift3"/>
      </w:pPr>
      <w:r>
        <w:t>Vergaben oberhalb des EU-Schwellenwertes</w:t>
      </w:r>
    </w:p>
    <w:p w14:paraId="52ACDE98" w14:textId="07CC87BC" w:rsidR="00EC43B7" w:rsidRDefault="00EC43B7" w:rsidP="00EC43B7">
      <w:pPr>
        <w:pStyle w:val="Flietext"/>
      </w:pPr>
      <w:r>
        <w:t>Bei Auftragsänderungen und -erweiterungen sowie Nachträgen im Oberschwellenbereich ist grundsätzlich ein neues Vergabeverfahren durchzuführen, wenn:</w:t>
      </w:r>
    </w:p>
    <w:p w14:paraId="4CE441AA" w14:textId="77777777" w:rsidR="00EC43B7" w:rsidRDefault="00EC43B7" w:rsidP="00EC43B7">
      <w:pPr>
        <w:pStyle w:val="FlietextAufzhlung"/>
      </w:pPr>
      <w:r>
        <w:t>sich die zusätzliche Leistung vom ursprünglichen Auftrag ohne fachliche oder wirtschaftliche Nachteile trennen lässt oder</w:t>
      </w:r>
    </w:p>
    <w:p w14:paraId="6BB7E56E" w14:textId="77777777" w:rsidR="00EC43B7" w:rsidRDefault="00EC43B7" w:rsidP="00EC43B7">
      <w:pPr>
        <w:pStyle w:val="FlietextAufzhlung"/>
      </w:pPr>
      <w:r>
        <w:t>der bestehende Auftrag wesentlich geändert wird.</w:t>
      </w:r>
    </w:p>
    <w:p w14:paraId="08E9A287" w14:textId="77777777" w:rsidR="00EC43B7" w:rsidRDefault="00EC43B7" w:rsidP="00EC43B7">
      <w:pPr>
        <w:pStyle w:val="FlietextAufzhlung"/>
      </w:pPr>
      <w:r>
        <w:t>Änderungen können insbesondere als unwesentlich bewertet werden, wenn:</w:t>
      </w:r>
    </w:p>
    <w:p w14:paraId="060CC85F" w14:textId="77777777" w:rsidR="00EC43B7" w:rsidRDefault="00EC43B7" w:rsidP="00EC43B7">
      <w:pPr>
        <w:pStyle w:val="FlietextAufzhlung"/>
      </w:pPr>
      <w:r>
        <w:t>der Änderungswert selbst den maßgeblichen EU-Schwellenwert nicht übersteigt,</w:t>
      </w:r>
    </w:p>
    <w:p w14:paraId="336FA83F" w14:textId="77777777" w:rsidR="00EC43B7" w:rsidRDefault="00EC43B7" w:rsidP="00EC43B7">
      <w:pPr>
        <w:pStyle w:val="FlietextAufzhlung"/>
      </w:pPr>
      <w:r>
        <w:t>keine erheblichen inhaltlichen Unterschiede zum ursprünglichen Auftrag bestehen,</w:t>
      </w:r>
    </w:p>
    <w:p w14:paraId="5D965A84" w14:textId="77777777" w:rsidR="00EC43B7" w:rsidRDefault="00EC43B7" w:rsidP="00EC43B7">
      <w:pPr>
        <w:pStyle w:val="FlietextAufzhlung"/>
      </w:pPr>
      <w:r>
        <w:t>der Umfang des Auftrags nicht erheblich ausgeweitet wird,</w:t>
      </w:r>
    </w:p>
    <w:p w14:paraId="6C1B6DCA" w14:textId="77777777" w:rsidR="00EC43B7" w:rsidRDefault="00EC43B7" w:rsidP="00EC43B7">
      <w:pPr>
        <w:pStyle w:val="FlietextAufzhlung"/>
      </w:pPr>
      <w:r>
        <w:t>kein Wechsel des Auftragnehmers oder der Auftragnehmerin erfolgen soll,</w:t>
      </w:r>
    </w:p>
    <w:p w14:paraId="734FD78A" w14:textId="77777777" w:rsidR="00EC43B7" w:rsidRPr="00EC43B7" w:rsidRDefault="00EC43B7" w:rsidP="00EC43B7">
      <w:pPr>
        <w:pStyle w:val="FlietextAufzhlung"/>
      </w:pPr>
      <w:r w:rsidRPr="00EC43B7">
        <w:t>bei Liefer- und Dienstleistungen sowie bei freiberuflichen Leistungen der ursprüngliche Auftragswert nicht um mehr als zehn Prozent; bei Bauleistungen nicht um mehr als 15 Prozent erhöht wird.</w:t>
      </w:r>
    </w:p>
    <w:p w14:paraId="590CBE65" w14:textId="77777777" w:rsidR="00EC43B7" w:rsidRDefault="00EC43B7" w:rsidP="00EC43B7">
      <w:pPr>
        <w:pStyle w:val="Flietext"/>
      </w:pPr>
      <w:r>
        <w:t>Wesentliche Änderungen eines öffentlichen Auftrags ohne Durchführung eines neuen Vergabeverfahrens sind zulässig, wenn die Voraussetzungen des § 132 Abs. 2 GWB vorliegen:</w:t>
      </w:r>
    </w:p>
    <w:p w14:paraId="58F10CDF" w14:textId="77777777" w:rsidR="00EC43B7" w:rsidRDefault="00EC43B7" w:rsidP="00EC43B7">
      <w:pPr>
        <w:pStyle w:val="FlietextAufzhlung"/>
      </w:pPr>
      <w:r>
        <w:t>Erforderliche Änderungen und Ergänzungen sind in Textform zu erteilen und zu dokumentieren. Der Zugang der Änderung oder Ergänzung ist in geeigneter Form zu bestätigen.</w:t>
      </w:r>
    </w:p>
    <w:p w14:paraId="32879B3B" w14:textId="3D474E72" w:rsidR="00EC43B7" w:rsidRDefault="00EC43B7" w:rsidP="00EC43B7">
      <w:pPr>
        <w:pStyle w:val="FlietextAufzhlung"/>
      </w:pPr>
      <w:r>
        <w:t xml:space="preserve">Der örtlichen Rechnungsprüfung </w:t>
      </w:r>
      <w:r w:rsidRPr="00B92F64">
        <w:t>(falls vorhanden)</w:t>
      </w:r>
      <w:r>
        <w:t xml:space="preserve"> sind vor Auftragserteilung die Unterlagen und Begründungen zu den Auftragsänderungen und Nachträgen zur Genehmigung vorzulegen.</w:t>
      </w:r>
    </w:p>
    <w:p w14:paraId="175B0692" w14:textId="77777777" w:rsidR="00EC43B7" w:rsidRDefault="00EC43B7" w:rsidP="00EC43B7">
      <w:pPr>
        <w:pStyle w:val="FlietextAufzhlung"/>
      </w:pPr>
      <w:r>
        <w:t xml:space="preserve">Auftragsänderungen gemäß § 132 Absatz 2 Nummer 2 und 3 GWB sind bekanntzumachen. </w:t>
      </w:r>
    </w:p>
    <w:p w14:paraId="553C4413" w14:textId="426703E1" w:rsidR="00EC43B7" w:rsidRDefault="00EC43B7" w:rsidP="00EC43B7">
      <w:pPr>
        <w:pStyle w:val="berschrift2"/>
      </w:pPr>
      <w:bookmarkStart w:id="51" w:name="_Toc215054291"/>
      <w:r>
        <w:t>Abnahme</w:t>
      </w:r>
      <w:bookmarkEnd w:id="51"/>
    </w:p>
    <w:p w14:paraId="557CFFC7" w14:textId="77777777" w:rsidR="00EC43B7" w:rsidRDefault="00EC43B7" w:rsidP="00EC43B7">
      <w:pPr>
        <w:pStyle w:val="Flietext"/>
      </w:pPr>
      <w:r>
        <w:t>Für die ordnungsgemäße Vertragserfüllung und Einhaltung der Fristen zur Anzeige und Geltendmachung von Mängeln ist die Bedarfsstelle verantwortlich. Ihr obliegt die Abnahme der Leistungen sowie die vollständige Vertragsabwicklung. Hierzu zählt insbesondere die Überwachung der Mängelbeseitigung und die Realisierung von Ansprüchen.</w:t>
      </w:r>
      <w:r>
        <w:br/>
        <w:t>Jede Lieferung ist sofort – ggf. durch Stichproben – auf Vollständigkeit und Übereinstimmung mit den geforderten Qualitätsmerkmalen zu prüfen. Sind schon bei der Übergabe wesentliche Mängel erkennbar, sind die Leistungen wegen nicht vertragsgemäßer Erfüllung zurückzuweisen.</w:t>
      </w:r>
    </w:p>
    <w:p w14:paraId="376D6802" w14:textId="77777777" w:rsidR="00EC43B7" w:rsidRDefault="00EC43B7" w:rsidP="00EC43B7">
      <w:pPr>
        <w:pStyle w:val="Flietext"/>
      </w:pPr>
      <w:r>
        <w:t>Das Ergebnis der Prüfung ist in einem Abnahmeprotokoll festzuhalten. Beanstandungen sind im Abnahmeprotokoll anzugeben.</w:t>
      </w:r>
    </w:p>
    <w:p w14:paraId="7B3BF215" w14:textId="77777777" w:rsidR="00EC43B7" w:rsidRDefault="00EC43B7" w:rsidP="00EC43B7">
      <w:pPr>
        <w:pStyle w:val="Flietext"/>
      </w:pPr>
      <w:r>
        <w:t>Bei Beanstandungen, die im Abnahmeprotokoll aufgeführt sind, ist die anschließende Mängelverfolgung und -beseitigung zu dokumentieren. Eine erneute Abnahme ist gegebenenfalls erforderlich.</w:t>
      </w:r>
    </w:p>
    <w:p w14:paraId="45C31C45" w14:textId="77777777" w:rsidR="00EC43B7" w:rsidRDefault="00EC43B7" w:rsidP="00EC43B7">
      <w:pPr>
        <w:pStyle w:val="Flietext"/>
      </w:pPr>
      <w:r>
        <w:t>Bei Baumaßnahmen ist eine förmliche Abnahme durchzuführen und eine schriftliche Niederschrift zu erstellen. Ein Abnahmeprotokoll ist bei jedem abgewickelten Auftrag anzufertigen. Bei Beanstandungen, die im Abnahmeprotokoll aufgeführt sind, ist die anschließende Mängelverfolgung und -beseitigung zu dokumentieren. Falls erforderlich, ist eine erneute Abnahme durchzuführen.</w:t>
      </w:r>
    </w:p>
    <w:p w14:paraId="51C02688" w14:textId="651D7ED6" w:rsidR="00EC43B7" w:rsidRDefault="00EC43B7" w:rsidP="00EC43B7">
      <w:pPr>
        <w:pStyle w:val="berschrift2"/>
      </w:pPr>
      <w:bookmarkStart w:id="52" w:name="_Toc215054292"/>
      <w:r>
        <w:t>Auftragsabrechnung</w:t>
      </w:r>
      <w:bookmarkEnd w:id="52"/>
    </w:p>
    <w:p w14:paraId="22A61287" w14:textId="77777777" w:rsidR="00EC43B7" w:rsidRDefault="00EC43B7" w:rsidP="00EC43B7">
      <w:pPr>
        <w:pStyle w:val="Flietext"/>
      </w:pPr>
      <w:r>
        <w:t>Alle von den Auftragnehmenden eingereichten Rechnungen werden von der Bedarfsstelle geprüft.</w:t>
      </w:r>
    </w:p>
    <w:p w14:paraId="58218C26" w14:textId="77777777" w:rsidR="00EC43B7" w:rsidRDefault="00EC43B7" w:rsidP="00EC43B7">
      <w:pPr>
        <w:pStyle w:val="Flietext"/>
      </w:pPr>
      <w:r>
        <w:t>Werden bei der Prüfung Änderungen gegenüber Forderungen vorgenommen, ist dies den Auftragnehmenden unverzüglich bekannt zu geben.</w:t>
      </w:r>
    </w:p>
    <w:p w14:paraId="1A0A761C" w14:textId="77777777" w:rsidR="00EC43B7" w:rsidRDefault="00EC43B7" w:rsidP="00EC43B7">
      <w:pPr>
        <w:pStyle w:val="Flietext"/>
      </w:pPr>
      <w:r>
        <w:t>Abschlagszahlungen werden nur auf Antrag der Auftragnehmenden in Höhe des Wertes der jeweils nachgewiesenen vertragsgemäßen Leistungen gewährt. Die vertragsgemäß erbrachten Leistungen sind durch prüfbare Aufstellungen und/oder Nachweise durch die Auftragnehmenden nachzuweisen.</w:t>
      </w:r>
    </w:p>
    <w:p w14:paraId="1E61BDA8" w14:textId="77777777" w:rsidR="00EC43B7" w:rsidRDefault="00EC43B7" w:rsidP="00EC43B7">
      <w:pPr>
        <w:pStyle w:val="Flietext"/>
      </w:pPr>
      <w:r>
        <w:t>Auftragnehmende von Bauleistungen sind mit der Schlusszahlung auf die Ausschlusswirkung schriftlich hinzuweisen.</w:t>
      </w:r>
    </w:p>
    <w:p w14:paraId="56109E6C" w14:textId="788DA071" w:rsidR="00EC43B7" w:rsidRDefault="00EC43B7" w:rsidP="00EC43B7">
      <w:pPr>
        <w:pStyle w:val="berschrift2"/>
      </w:pPr>
      <w:bookmarkStart w:id="53" w:name="_Toc215054293"/>
      <w:r>
        <w:t>Gewährleistung</w:t>
      </w:r>
      <w:bookmarkEnd w:id="53"/>
    </w:p>
    <w:p w14:paraId="4F39D6EE" w14:textId="77777777" w:rsidR="00EC43B7" w:rsidRDefault="00EC43B7" w:rsidP="00EC43B7">
      <w:pPr>
        <w:pStyle w:val="Flietext"/>
      </w:pPr>
      <w:r>
        <w:t>Spätestens einen Monat vor Ablauf der Gewährleistungsfrist ist grundsätzlich eine Kontrolle zur Mängelfeststellung durchzuführen.</w:t>
      </w:r>
    </w:p>
    <w:p w14:paraId="78F74FC9" w14:textId="77777777" w:rsidR="00EC43B7" w:rsidRDefault="00EC43B7" w:rsidP="00EC43B7">
      <w:pPr>
        <w:pStyle w:val="Flietext"/>
      </w:pPr>
      <w:r>
        <w:t>Das Ergebnis ist in den Vergabeunterlagen zu dokumentieren.</w:t>
      </w:r>
    </w:p>
    <w:p w14:paraId="42BCBE5E" w14:textId="77777777" w:rsidR="00EC43B7" w:rsidRDefault="00EC43B7" w:rsidP="00EC43B7">
      <w:pPr>
        <w:pStyle w:val="Flietext"/>
      </w:pPr>
      <w:r>
        <w:t>Werden bei der Kontrolle Mängel festgestellt, veranlasst die Bedarfsstelle die notwendigen Schritte zur Verwirklichung der Gewährleistungsansprüche. Die Mängelanzeige ist schriftlich anzuzeigen.</w:t>
      </w:r>
    </w:p>
    <w:p w14:paraId="7E6C6F37" w14:textId="7CBCD5C4" w:rsidR="00EC43B7" w:rsidRDefault="00EC43B7" w:rsidP="00EC43B7">
      <w:pPr>
        <w:pStyle w:val="Flietext"/>
      </w:pPr>
      <w:r>
        <w:t>Bürgschaften sind bei ordnungsgemäßer Erfüllung zeitnah zurückzugeben.</w:t>
      </w:r>
    </w:p>
    <w:p w14:paraId="06D49654" w14:textId="31E95900" w:rsidR="00EC43B7" w:rsidRDefault="00EC43B7" w:rsidP="00EC43B7">
      <w:pPr>
        <w:pStyle w:val="berschrift2"/>
      </w:pPr>
      <w:bookmarkStart w:id="54" w:name="_Toc215054294"/>
      <w:r>
        <w:t>Geheimhaltung und Datenschutz</w:t>
      </w:r>
      <w:bookmarkEnd w:id="54"/>
    </w:p>
    <w:p w14:paraId="6693B56D" w14:textId="46E457D7" w:rsidR="00EC43B7" w:rsidRDefault="00EC43B7" w:rsidP="00EC43B7">
      <w:pPr>
        <w:pStyle w:val="Flietext"/>
      </w:pPr>
      <w:r>
        <w:t xml:space="preserve">Generell sind alle Beschäftigten der </w:t>
      </w:r>
      <w:r>
        <w:rPr>
          <w:color w:val="00B0F0"/>
        </w:rPr>
        <w:t>&lt;&lt;Musterkommune&gt;&gt;</w:t>
      </w:r>
      <w:r>
        <w:t xml:space="preserve"> zur Geheimhaltung über Inhalte aus Beschaffungen verpflichtet. Auch verwaltungsintern dürfen Informationen nur insoweit weitergegeben werden, als dies zur Abwicklung der Beschaffungen oder aus Rechtsgründen erforderlich ist.</w:t>
      </w:r>
    </w:p>
    <w:p w14:paraId="4BA408DD" w14:textId="77777777" w:rsidR="00EC43B7" w:rsidRDefault="00EC43B7" w:rsidP="00EC43B7">
      <w:pPr>
        <w:pStyle w:val="Flietext"/>
      </w:pPr>
      <w:r>
        <w:t>Bei Bauleistungen erhalten nur die bei formalen Verfahren oberhalb des EU-Schwellenwertes beteiligten Bietenden Auskünfte zum Submissionsergebnis. Ansonsten dürfen bei Bau-, Liefer- und Dienstleistungen keine Ergebnisse mitgeteilt werden, auch nicht an Herstellungs- oder Lieferbetriebe.</w:t>
      </w:r>
    </w:p>
    <w:p w14:paraId="6EF4E032" w14:textId="77777777" w:rsidR="00EC43B7" w:rsidRDefault="00EC43B7" w:rsidP="00EC43B7">
      <w:pPr>
        <w:pStyle w:val="Flietext"/>
      </w:pPr>
      <w:r>
        <w:t>Dritte erhalten nur Informationen, soweit hierzu eine gesetzliche Verpflichtung besteht. Dabei sind Dienst- oder Geschäftsgeheimnisse zu wahren sowie datenschutzrechtliche Bestimmungen zu beachten.</w:t>
      </w:r>
    </w:p>
    <w:p w14:paraId="4349DD2B" w14:textId="77777777" w:rsidR="00EC43B7" w:rsidRDefault="00EC43B7" w:rsidP="00EC43B7">
      <w:pPr>
        <w:pStyle w:val="Flietext"/>
      </w:pPr>
      <w:r>
        <w:t>Während des gesamten Beschaffungsprozesses sind alle Daten und Informationen der Bietenden und Teilnehmenden vertraulich zu behandeln. Daten und Informationen, insbesondere personenbezogene, sind nach Abschluss der Beschaffung zu löschen, soweit diese für die Dokumentationspflichten und Vertragsabwicklung nicht erforderlich sind.</w:t>
      </w:r>
    </w:p>
    <w:p w14:paraId="332DD478" w14:textId="0804F7F7" w:rsidR="00EC43B7" w:rsidRDefault="00EC43B7" w:rsidP="00EC43B7">
      <w:pPr>
        <w:pStyle w:val="berschrift2"/>
      </w:pPr>
      <w:bookmarkStart w:id="55" w:name="_Toc215054295"/>
      <w:r>
        <w:t>Rechtliche Wirkung</w:t>
      </w:r>
      <w:bookmarkEnd w:id="55"/>
    </w:p>
    <w:p w14:paraId="3A6D5154" w14:textId="77777777" w:rsidR="00EC43B7" w:rsidRDefault="00EC43B7" w:rsidP="00EC43B7">
      <w:pPr>
        <w:pStyle w:val="Flietext"/>
      </w:pPr>
      <w:r>
        <w:t>Die Bestimmungen dieser Dienstweisung regeln das verwaltungsinterne Verfahren der Vergabe von Lieferungen und Leistungen. Sie werden nicht Vertragsbestandteil und geben somit weder den Bietenden noch den Auftraggebenden ein einklagbares Recht.</w:t>
      </w:r>
    </w:p>
    <w:p w14:paraId="1A505DCA" w14:textId="55A80D7A" w:rsidR="00EC43B7" w:rsidRDefault="00EC43B7" w:rsidP="00EC43B7">
      <w:pPr>
        <w:pStyle w:val="berschrift2"/>
      </w:pPr>
      <w:bookmarkStart w:id="56" w:name="_Toc215054296"/>
      <w:r>
        <w:t>In Kraft treten</w:t>
      </w:r>
      <w:bookmarkEnd w:id="56"/>
    </w:p>
    <w:p w14:paraId="55A76DBC" w14:textId="77777777" w:rsidR="00DD3FDC" w:rsidRDefault="00DD3FDC" w:rsidP="00DD3FDC">
      <w:pPr>
        <w:pStyle w:val="Flietext"/>
      </w:pPr>
      <w:r>
        <w:t>Diese Dienstanweisung tritt sofort/am TT.MM.JJJJ in Kraft.</w:t>
      </w:r>
    </w:p>
    <w:p w14:paraId="1329BB3D" w14:textId="77777777" w:rsidR="00DD3FDC" w:rsidRDefault="00DD3FDC" w:rsidP="00DD3FDC">
      <w:pPr>
        <w:pStyle w:val="Flietext"/>
      </w:pPr>
      <w:r>
        <w:t>Hiermit tritt die bisherige Dienstanweisung Vergabe vom TT.MM.JJJJ außer Kraft.</w:t>
      </w:r>
    </w:p>
    <w:p w14:paraId="3BD1E83D" w14:textId="77777777" w:rsidR="00DD3FDC" w:rsidRDefault="00DD3FDC" w:rsidP="00DD3FDC">
      <w:pPr>
        <w:pStyle w:val="Flietext"/>
      </w:pPr>
    </w:p>
    <w:p w14:paraId="2CD3B10B" w14:textId="77777777" w:rsidR="00DD3FDC" w:rsidRDefault="00DD3FDC" w:rsidP="00DD3FDC">
      <w:pPr>
        <w:pStyle w:val="Textbody"/>
        <w:tabs>
          <w:tab w:val="clear" w:pos="284"/>
          <w:tab w:val="left" w:pos="567"/>
        </w:tabs>
      </w:pPr>
      <w:r>
        <w:rPr>
          <w:color w:val="00B0F0"/>
        </w:rPr>
        <w:t>&lt;&lt; Musterkommune&gt;&gt;,</w:t>
      </w:r>
      <w:r>
        <w:t xml:space="preserve"> TT.MM.JJJJ</w:t>
      </w:r>
    </w:p>
    <w:p w14:paraId="503BCD0F" w14:textId="77777777" w:rsidR="00DD3FDC" w:rsidRDefault="00DD3FDC" w:rsidP="00DD3FDC">
      <w:pPr>
        <w:pStyle w:val="Textbody"/>
        <w:tabs>
          <w:tab w:val="clear" w:pos="284"/>
          <w:tab w:val="left" w:pos="567"/>
        </w:tabs>
      </w:pPr>
    </w:p>
    <w:p w14:paraId="21369F07" w14:textId="77777777" w:rsidR="00DD3FDC" w:rsidRDefault="00DD3FDC" w:rsidP="00DD3FDC">
      <w:pPr>
        <w:pStyle w:val="Textbody"/>
        <w:tabs>
          <w:tab w:val="clear" w:pos="284"/>
          <w:tab w:val="left" w:pos="567"/>
        </w:tabs>
      </w:pPr>
      <w:r>
        <w:t>Die Hauptverwaltungsbeamtin/Der Hauptverwaltungsbeamte</w:t>
      </w:r>
    </w:p>
    <w:p w14:paraId="3D42A645" w14:textId="77777777" w:rsidR="00DD3FDC" w:rsidRDefault="00DD3FDC" w:rsidP="00DD3FDC">
      <w:pPr>
        <w:pStyle w:val="Flietext"/>
      </w:pPr>
    </w:p>
    <w:p w14:paraId="7B7A57F2" w14:textId="083FB35D" w:rsidR="00212A0B" w:rsidRDefault="00212A0B">
      <w:pPr>
        <w:spacing w:before="0" w:line="276" w:lineRule="auto"/>
        <w:rPr>
          <w:sz w:val="20"/>
        </w:rPr>
      </w:pPr>
      <w:r>
        <w:br w:type="page"/>
      </w:r>
    </w:p>
    <w:p w14:paraId="4FA9546F" w14:textId="77777777" w:rsidR="00212A0B" w:rsidRDefault="00212A0B" w:rsidP="00212A0B">
      <w:pPr>
        <w:pStyle w:val="berschrift2"/>
        <w:numPr>
          <w:ilvl w:val="0"/>
          <w:numId w:val="0"/>
        </w:numPr>
        <w:ind w:left="1134" w:hanging="1134"/>
        <w:rPr>
          <w:u w:val="single"/>
        </w:rPr>
      </w:pPr>
      <w:bookmarkStart w:id="57" w:name="_Toc215054297"/>
      <w:r w:rsidRPr="00212A0B">
        <w:rPr>
          <w:u w:val="single"/>
        </w:rPr>
        <w:t>Anlage 1: Abkürzungsverzeichnis</w:t>
      </w:r>
      <w:bookmarkEnd w:id="57"/>
    </w:p>
    <w:p w14:paraId="5A3B415A" w14:textId="77777777" w:rsidR="00212A0B" w:rsidRPr="00212A0B" w:rsidRDefault="00212A0B" w:rsidP="00212A0B">
      <w:pPr>
        <w:pStyle w:val="Flietext"/>
      </w:pPr>
    </w:p>
    <w:tbl>
      <w:tblPr>
        <w:tblW w:w="8504" w:type="dxa"/>
        <w:tblInd w:w="2" w:type="dxa"/>
        <w:tblLayout w:type="fixed"/>
        <w:tblCellMar>
          <w:left w:w="10" w:type="dxa"/>
          <w:right w:w="10" w:type="dxa"/>
        </w:tblCellMar>
        <w:tblLook w:val="04A0" w:firstRow="1" w:lastRow="0" w:firstColumn="1" w:lastColumn="0" w:noHBand="0" w:noVBand="1"/>
      </w:tblPr>
      <w:tblGrid>
        <w:gridCol w:w="4114"/>
        <w:gridCol w:w="4390"/>
      </w:tblGrid>
      <w:tr w:rsidR="00212A0B" w14:paraId="05B6497A" w14:textId="77777777" w:rsidTr="005F2971">
        <w:trPr>
          <w:tblHeader/>
        </w:trPr>
        <w:tc>
          <w:tcPr>
            <w:tcW w:w="4114" w:type="dxa"/>
            <w:tcBorders>
              <w:top w:val="single" w:sz="2" w:space="0" w:color="00ACE5"/>
              <w:left w:val="single" w:sz="2" w:space="0" w:color="00ACE5"/>
              <w:bottom w:val="single" w:sz="2" w:space="0" w:color="00ACE5"/>
              <w:right w:val="single" w:sz="2" w:space="0" w:color="00ACE5"/>
            </w:tcBorders>
            <w:shd w:val="clear" w:color="auto" w:fill="8CA3AF"/>
            <w:tcMar>
              <w:top w:w="57" w:type="dxa"/>
              <w:left w:w="85" w:type="dxa"/>
              <w:bottom w:w="57" w:type="dxa"/>
              <w:right w:w="85" w:type="dxa"/>
            </w:tcMar>
            <w:vAlign w:val="center"/>
          </w:tcPr>
          <w:p w14:paraId="2E18F992" w14:textId="77777777" w:rsidR="00212A0B" w:rsidRDefault="00212A0B" w:rsidP="005F2971">
            <w:pPr>
              <w:keepNext/>
              <w:spacing w:before="0" w:after="0" w:line="210" w:lineRule="atLeast"/>
              <w:rPr>
                <w:rFonts w:eastAsia="Calibri" w:cs="F"/>
                <w:b/>
                <w:color w:val="FFFFFF"/>
                <w:sz w:val="20"/>
              </w:rPr>
            </w:pPr>
            <w:r>
              <w:rPr>
                <w:rFonts w:eastAsia="Calibri" w:cs="F"/>
                <w:b/>
                <w:color w:val="FFFFFF"/>
                <w:sz w:val="16"/>
              </w:rPr>
              <w:t>Abkürzung</w:t>
            </w:r>
          </w:p>
        </w:tc>
        <w:tc>
          <w:tcPr>
            <w:tcW w:w="4389" w:type="dxa"/>
            <w:tcBorders>
              <w:top w:val="single" w:sz="2" w:space="0" w:color="00ACE5"/>
              <w:left w:val="single" w:sz="2" w:space="0" w:color="00ACE5"/>
              <w:bottom w:val="single" w:sz="2" w:space="0" w:color="00ACE5"/>
              <w:right w:val="single" w:sz="2" w:space="0" w:color="00ACE5"/>
            </w:tcBorders>
            <w:shd w:val="clear" w:color="auto" w:fill="8CA3AF"/>
            <w:tcMar>
              <w:top w:w="57" w:type="dxa"/>
              <w:left w:w="85" w:type="dxa"/>
              <w:bottom w:w="57" w:type="dxa"/>
              <w:right w:w="85" w:type="dxa"/>
            </w:tcMar>
            <w:vAlign w:val="center"/>
          </w:tcPr>
          <w:p w14:paraId="0F2B2850" w14:textId="77777777" w:rsidR="00212A0B" w:rsidRDefault="00212A0B" w:rsidP="005F2971">
            <w:pPr>
              <w:keepNext/>
              <w:spacing w:before="0" w:after="0" w:line="210" w:lineRule="atLeast"/>
              <w:jc w:val="center"/>
              <w:rPr>
                <w:rFonts w:eastAsia="Calibri" w:cs="F"/>
                <w:b/>
                <w:color w:val="FFFFFF"/>
                <w:sz w:val="20"/>
              </w:rPr>
            </w:pPr>
            <w:r>
              <w:rPr>
                <w:rFonts w:eastAsia="Calibri" w:cs="F"/>
                <w:b/>
                <w:color w:val="FFFFFF"/>
                <w:sz w:val="16"/>
              </w:rPr>
              <w:t>Langtext</w:t>
            </w:r>
          </w:p>
        </w:tc>
      </w:tr>
      <w:tr w:rsidR="00212A0B" w14:paraId="4A04F41F"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3D2D7A94" w14:textId="77777777" w:rsidR="00212A0B" w:rsidRDefault="00212A0B" w:rsidP="005F2971">
            <w:pPr>
              <w:keepNext/>
              <w:spacing w:before="0" w:after="0" w:line="210" w:lineRule="atLeast"/>
              <w:rPr>
                <w:rFonts w:eastAsia="Calibri" w:cs="F"/>
                <w:sz w:val="16"/>
              </w:rPr>
            </w:pPr>
            <w:r>
              <w:rPr>
                <w:rFonts w:eastAsia="Calibri" w:cs="F"/>
                <w:sz w:val="16"/>
                <w:lang w:eastAsia="de-DE"/>
              </w:rPr>
              <w:t>AentG</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14C44E85" w14:textId="77777777" w:rsidR="00212A0B" w:rsidRDefault="00212A0B" w:rsidP="005F2971">
            <w:pPr>
              <w:keepNext/>
              <w:spacing w:before="0" w:after="0" w:line="210" w:lineRule="atLeast"/>
              <w:rPr>
                <w:rFonts w:eastAsia="Calibri" w:cs="F"/>
                <w:sz w:val="16"/>
              </w:rPr>
            </w:pPr>
            <w:r>
              <w:rPr>
                <w:rFonts w:eastAsia="Calibri" w:cs="F"/>
                <w:sz w:val="16"/>
                <w:lang w:eastAsia="de-DE"/>
              </w:rPr>
              <w:t>Arbeitnehmer-Entsendegesetz</w:t>
            </w:r>
          </w:p>
        </w:tc>
      </w:tr>
      <w:tr w:rsidR="00212A0B" w14:paraId="489250A1"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3B161EC1" w14:textId="77777777" w:rsidR="00212A0B" w:rsidRDefault="00212A0B" w:rsidP="005F2971">
            <w:pPr>
              <w:keepNext/>
              <w:spacing w:before="0" w:after="0" w:line="210" w:lineRule="atLeast"/>
              <w:rPr>
                <w:rFonts w:eastAsia="Calibri" w:cs="F"/>
                <w:sz w:val="16"/>
              </w:rPr>
            </w:pPr>
            <w:r>
              <w:rPr>
                <w:rFonts w:eastAsia="Calibri" w:cs="F"/>
                <w:sz w:val="16"/>
                <w:lang w:eastAsia="de-DE"/>
              </w:rPr>
              <w:t>DA Vergabe</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AA6B59E" w14:textId="77777777" w:rsidR="00212A0B" w:rsidRDefault="00212A0B" w:rsidP="005F2971">
            <w:pPr>
              <w:keepNext/>
              <w:spacing w:before="0" w:after="0" w:line="210" w:lineRule="atLeast"/>
              <w:rPr>
                <w:rFonts w:eastAsia="Calibri" w:cs="F"/>
                <w:sz w:val="16"/>
              </w:rPr>
            </w:pPr>
            <w:r>
              <w:rPr>
                <w:rFonts w:eastAsia="Calibri" w:cs="F"/>
                <w:sz w:val="16"/>
                <w:lang w:eastAsia="de-DE"/>
              </w:rPr>
              <w:t>Dienstanweisung Vergabewesen der Gemeindeprüfungsanstalt Nordrhein-Westfalen</w:t>
            </w:r>
          </w:p>
        </w:tc>
      </w:tr>
      <w:tr w:rsidR="00212A0B" w14:paraId="61226380"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302C0F59" w14:textId="77777777" w:rsidR="00212A0B" w:rsidRDefault="00212A0B" w:rsidP="005F2971">
            <w:pPr>
              <w:keepNext/>
              <w:spacing w:before="0" w:after="0" w:line="210" w:lineRule="atLeast"/>
              <w:rPr>
                <w:rFonts w:eastAsia="Calibri" w:cs="F"/>
                <w:sz w:val="16"/>
              </w:rPr>
            </w:pPr>
            <w:r>
              <w:rPr>
                <w:rFonts w:eastAsia="Calibri" w:cs="F"/>
                <w:sz w:val="16"/>
                <w:lang w:eastAsia="de-DE"/>
              </w:rPr>
              <w:t>e.V.</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2555A186" w14:textId="77777777" w:rsidR="00212A0B" w:rsidRDefault="00212A0B" w:rsidP="005F2971">
            <w:pPr>
              <w:keepNext/>
              <w:spacing w:before="0" w:after="0" w:line="210" w:lineRule="atLeast"/>
              <w:rPr>
                <w:rFonts w:eastAsia="Calibri" w:cs="F"/>
                <w:sz w:val="16"/>
              </w:rPr>
            </w:pPr>
            <w:r>
              <w:rPr>
                <w:rFonts w:eastAsia="Calibri" w:cs="F"/>
                <w:sz w:val="16"/>
                <w:lang w:eastAsia="de-DE"/>
              </w:rPr>
              <w:t>eingetragener Verein</w:t>
            </w:r>
          </w:p>
        </w:tc>
      </w:tr>
      <w:tr w:rsidR="00212A0B" w14:paraId="1992B7A8"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7F500CD3" w14:textId="77777777" w:rsidR="00212A0B" w:rsidRDefault="00212A0B" w:rsidP="005F2971">
            <w:pPr>
              <w:keepNext/>
              <w:spacing w:before="0" w:after="0" w:line="210" w:lineRule="atLeast"/>
              <w:rPr>
                <w:rFonts w:eastAsia="Calibri" w:cs="F"/>
                <w:sz w:val="16"/>
              </w:rPr>
            </w:pPr>
            <w:r>
              <w:rPr>
                <w:rFonts w:eastAsia="Calibri" w:cs="F"/>
                <w:sz w:val="16"/>
                <w:lang w:eastAsia="de-DE"/>
              </w:rPr>
              <w:t>EStG</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3D08E700" w14:textId="77777777" w:rsidR="00212A0B" w:rsidRDefault="00212A0B" w:rsidP="005F2971">
            <w:pPr>
              <w:keepNext/>
              <w:spacing w:before="0" w:after="0" w:line="210" w:lineRule="atLeast"/>
              <w:rPr>
                <w:rFonts w:eastAsia="Calibri" w:cs="F"/>
                <w:sz w:val="16"/>
              </w:rPr>
            </w:pPr>
            <w:r>
              <w:rPr>
                <w:rFonts w:eastAsia="Calibri" w:cs="F"/>
                <w:sz w:val="16"/>
                <w:lang w:eastAsia="de-DE"/>
              </w:rPr>
              <w:t>Einkommensteuergesetz</w:t>
            </w:r>
          </w:p>
        </w:tc>
      </w:tr>
      <w:tr w:rsidR="00212A0B" w14:paraId="0C90E81E"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2C9C548A" w14:textId="77777777" w:rsidR="00212A0B" w:rsidRDefault="00212A0B" w:rsidP="005F2971">
            <w:pPr>
              <w:keepNext/>
              <w:spacing w:before="0" w:after="0" w:line="210" w:lineRule="atLeast"/>
              <w:rPr>
                <w:rFonts w:eastAsia="Calibri" w:cs="F"/>
                <w:sz w:val="16"/>
              </w:rPr>
            </w:pPr>
            <w:r>
              <w:rPr>
                <w:rFonts w:eastAsia="Calibri" w:cs="F"/>
                <w:sz w:val="16"/>
                <w:lang w:eastAsia="de-DE"/>
              </w:rPr>
              <w:t>EU</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046407EE" w14:textId="77777777" w:rsidR="00212A0B" w:rsidRDefault="00212A0B" w:rsidP="005F2971">
            <w:pPr>
              <w:keepNext/>
              <w:spacing w:before="0" w:after="0" w:line="210" w:lineRule="atLeast"/>
              <w:rPr>
                <w:rFonts w:eastAsia="Calibri" w:cs="F"/>
                <w:sz w:val="16"/>
              </w:rPr>
            </w:pPr>
            <w:r>
              <w:rPr>
                <w:rFonts w:eastAsia="Calibri" w:cs="F"/>
                <w:sz w:val="16"/>
                <w:lang w:eastAsia="de-DE"/>
              </w:rPr>
              <w:t>Europäische Union</w:t>
            </w:r>
          </w:p>
        </w:tc>
      </w:tr>
      <w:tr w:rsidR="00212A0B" w14:paraId="6485D60E"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2E257249" w14:textId="77777777" w:rsidR="00212A0B" w:rsidRDefault="00212A0B" w:rsidP="005F2971">
            <w:pPr>
              <w:keepNext/>
              <w:spacing w:before="0" w:after="0" w:line="210" w:lineRule="atLeast"/>
              <w:rPr>
                <w:rFonts w:eastAsia="Calibri" w:cs="F"/>
                <w:sz w:val="16"/>
              </w:rPr>
            </w:pPr>
            <w:r>
              <w:rPr>
                <w:rFonts w:eastAsia="Calibri" w:cs="F"/>
                <w:sz w:val="16"/>
                <w:lang w:eastAsia="de-DE"/>
              </w:rPr>
              <w:t>GO NRW</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6D9E1483" w14:textId="77777777" w:rsidR="00212A0B" w:rsidRDefault="00212A0B" w:rsidP="005F2971">
            <w:pPr>
              <w:keepNext/>
              <w:spacing w:before="0" w:after="0" w:line="210" w:lineRule="atLeast"/>
              <w:rPr>
                <w:rFonts w:eastAsia="Calibri" w:cs="F"/>
                <w:sz w:val="16"/>
              </w:rPr>
            </w:pPr>
            <w:r>
              <w:rPr>
                <w:rFonts w:eastAsia="Calibri" w:cs="F"/>
                <w:sz w:val="16"/>
                <w:lang w:eastAsia="de-DE"/>
              </w:rPr>
              <w:t>Gemeindeordnung für das Land Nordrhein-Westfalen</w:t>
            </w:r>
          </w:p>
        </w:tc>
      </w:tr>
      <w:tr w:rsidR="00212A0B" w14:paraId="0C4EEFE1"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7D71C9A6" w14:textId="77777777" w:rsidR="00212A0B" w:rsidRDefault="00212A0B" w:rsidP="005F2971">
            <w:pPr>
              <w:keepNext/>
              <w:spacing w:before="0" w:after="0" w:line="210" w:lineRule="atLeast"/>
              <w:rPr>
                <w:rFonts w:eastAsia="Calibri" w:cs="F"/>
                <w:sz w:val="16"/>
              </w:rPr>
            </w:pPr>
            <w:proofErr w:type="spellStart"/>
            <w:r>
              <w:rPr>
                <w:rFonts w:eastAsia="Calibri" w:cs="F"/>
                <w:sz w:val="16"/>
                <w:lang w:eastAsia="de-DE"/>
              </w:rPr>
              <w:t>gpaNRW</w:t>
            </w:r>
            <w:proofErr w:type="spellEnd"/>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1151DB18" w14:textId="77777777" w:rsidR="00212A0B" w:rsidRDefault="00212A0B" w:rsidP="005F2971">
            <w:pPr>
              <w:keepNext/>
              <w:spacing w:before="0" w:after="0" w:line="210" w:lineRule="atLeast"/>
              <w:rPr>
                <w:rFonts w:eastAsia="Calibri" w:cs="F"/>
                <w:sz w:val="16"/>
              </w:rPr>
            </w:pPr>
            <w:r>
              <w:rPr>
                <w:rFonts w:eastAsia="Calibri" w:cs="F"/>
                <w:sz w:val="16"/>
                <w:lang w:eastAsia="de-DE"/>
              </w:rPr>
              <w:t>Gemeindeprüfungsanstalt Nordrhein-Westfalen</w:t>
            </w:r>
          </w:p>
        </w:tc>
      </w:tr>
      <w:tr w:rsidR="00212A0B" w14:paraId="3F730B8A"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4B553B24" w14:textId="77777777" w:rsidR="00212A0B" w:rsidRDefault="00212A0B" w:rsidP="005F2971">
            <w:pPr>
              <w:keepNext/>
              <w:spacing w:before="0" w:after="0" w:line="210" w:lineRule="atLeast"/>
              <w:rPr>
                <w:rFonts w:eastAsia="Calibri" w:cs="F"/>
                <w:sz w:val="16"/>
              </w:rPr>
            </w:pPr>
            <w:r>
              <w:rPr>
                <w:rFonts w:eastAsia="Calibri" w:cs="F"/>
                <w:sz w:val="16"/>
                <w:lang w:eastAsia="de-DE"/>
              </w:rPr>
              <w:t>GWB</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1FCABAF5" w14:textId="77777777" w:rsidR="00212A0B" w:rsidRDefault="00212A0B" w:rsidP="005F2971">
            <w:pPr>
              <w:keepNext/>
              <w:spacing w:before="0" w:after="0" w:line="210" w:lineRule="atLeast"/>
              <w:rPr>
                <w:rFonts w:eastAsia="Calibri" w:cs="F"/>
                <w:sz w:val="16"/>
              </w:rPr>
            </w:pPr>
            <w:r>
              <w:rPr>
                <w:rFonts w:eastAsia="Calibri" w:cs="F"/>
                <w:sz w:val="16"/>
                <w:lang w:eastAsia="de-DE"/>
              </w:rPr>
              <w:t>Gesetz gegen Wettbewerbsbeschränkungen</w:t>
            </w:r>
          </w:p>
        </w:tc>
      </w:tr>
      <w:tr w:rsidR="00212A0B" w14:paraId="5CF83AC2"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3B8E925D" w14:textId="77777777" w:rsidR="00212A0B" w:rsidRDefault="00212A0B" w:rsidP="005F2971">
            <w:pPr>
              <w:keepNext/>
              <w:spacing w:before="0" w:after="0" w:line="210" w:lineRule="atLeast"/>
              <w:rPr>
                <w:rFonts w:eastAsia="Calibri" w:cs="F"/>
                <w:sz w:val="16"/>
              </w:rPr>
            </w:pPr>
            <w:r>
              <w:rPr>
                <w:rFonts w:eastAsia="Calibri" w:cs="F"/>
                <w:sz w:val="16"/>
                <w:lang w:eastAsia="de-DE"/>
              </w:rPr>
              <w:t>KAG</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6791BC78" w14:textId="77777777" w:rsidR="00212A0B" w:rsidRDefault="00212A0B" w:rsidP="005F2971">
            <w:pPr>
              <w:keepNext/>
              <w:spacing w:before="0" w:after="0" w:line="210" w:lineRule="atLeast"/>
              <w:rPr>
                <w:rFonts w:eastAsia="Calibri" w:cs="F"/>
                <w:sz w:val="16"/>
              </w:rPr>
            </w:pPr>
            <w:r>
              <w:rPr>
                <w:rFonts w:eastAsia="Calibri" w:cs="F"/>
                <w:sz w:val="16"/>
                <w:lang w:eastAsia="de-DE"/>
              </w:rPr>
              <w:t>Kommunalabgabengesetz für das Land Nordrhein-Westfalen</w:t>
            </w:r>
          </w:p>
        </w:tc>
      </w:tr>
      <w:tr w:rsidR="00212A0B" w14:paraId="1E637F4E"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39F30549" w14:textId="77777777" w:rsidR="00212A0B" w:rsidRDefault="00212A0B" w:rsidP="005F2971">
            <w:pPr>
              <w:keepNext/>
              <w:spacing w:before="0" w:after="0" w:line="210" w:lineRule="atLeast"/>
              <w:rPr>
                <w:rFonts w:eastAsia="Calibri" w:cs="F"/>
                <w:sz w:val="16"/>
              </w:rPr>
            </w:pPr>
            <w:proofErr w:type="spellStart"/>
            <w:r>
              <w:rPr>
                <w:rFonts w:eastAsia="Calibri" w:cs="F"/>
                <w:sz w:val="16"/>
                <w:lang w:eastAsia="de-DE"/>
              </w:rPr>
              <w:t>KomHVO</w:t>
            </w:r>
            <w:proofErr w:type="spellEnd"/>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3B1E8F12" w14:textId="77777777" w:rsidR="00212A0B" w:rsidRDefault="00212A0B" w:rsidP="005F2971">
            <w:pPr>
              <w:keepNext/>
              <w:spacing w:before="0" w:after="0" w:line="210" w:lineRule="atLeast"/>
              <w:rPr>
                <w:rFonts w:eastAsia="Calibri" w:cs="F"/>
                <w:sz w:val="16"/>
              </w:rPr>
            </w:pPr>
            <w:r>
              <w:rPr>
                <w:rFonts w:eastAsia="Calibri" w:cs="F"/>
                <w:sz w:val="16"/>
                <w:lang w:eastAsia="de-DE"/>
              </w:rPr>
              <w:t>Kommunalhaushaltsverordnung Nordrhein-Westfalen</w:t>
            </w:r>
          </w:p>
        </w:tc>
      </w:tr>
      <w:tr w:rsidR="00212A0B" w14:paraId="2F49304B"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6A179E0A" w14:textId="77777777" w:rsidR="00212A0B" w:rsidRDefault="00212A0B" w:rsidP="005F2971">
            <w:pPr>
              <w:keepNext/>
              <w:spacing w:before="0" w:after="0" w:line="210" w:lineRule="atLeast"/>
              <w:rPr>
                <w:rFonts w:eastAsia="Calibri" w:cs="F"/>
                <w:sz w:val="16"/>
              </w:rPr>
            </w:pPr>
            <w:proofErr w:type="spellStart"/>
            <w:r>
              <w:rPr>
                <w:rFonts w:eastAsia="Calibri" w:cs="F"/>
                <w:sz w:val="16"/>
                <w:lang w:eastAsia="de-DE"/>
              </w:rPr>
              <w:t>KorruptionsbG</w:t>
            </w:r>
            <w:proofErr w:type="spellEnd"/>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2716C325" w14:textId="77777777" w:rsidR="00212A0B" w:rsidRDefault="00212A0B" w:rsidP="005F2971">
            <w:pPr>
              <w:keepNext/>
              <w:spacing w:before="0" w:after="0" w:line="210" w:lineRule="atLeast"/>
              <w:rPr>
                <w:rFonts w:eastAsia="Calibri" w:cs="F"/>
                <w:sz w:val="16"/>
              </w:rPr>
            </w:pPr>
            <w:r>
              <w:rPr>
                <w:rFonts w:eastAsia="Calibri" w:cs="F"/>
                <w:sz w:val="16"/>
                <w:lang w:eastAsia="de-DE"/>
              </w:rPr>
              <w:t>Korruptionsbekämpfungsgesetz</w:t>
            </w:r>
          </w:p>
        </w:tc>
      </w:tr>
      <w:tr w:rsidR="00212A0B" w14:paraId="79598890"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25CE7C86" w14:textId="77777777" w:rsidR="00212A0B" w:rsidRDefault="00212A0B" w:rsidP="005F2971">
            <w:pPr>
              <w:keepNext/>
              <w:spacing w:before="0" w:after="0" w:line="210" w:lineRule="atLeast"/>
              <w:rPr>
                <w:rFonts w:eastAsia="Calibri" w:cs="F"/>
                <w:sz w:val="16"/>
              </w:rPr>
            </w:pPr>
            <w:r>
              <w:rPr>
                <w:rFonts w:eastAsia="Calibri" w:cs="F"/>
                <w:sz w:val="16"/>
                <w:lang w:eastAsia="de-DE"/>
              </w:rPr>
              <w:t>MBl. NRW.</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7D8BDAE5" w14:textId="77777777" w:rsidR="00212A0B" w:rsidRDefault="00212A0B" w:rsidP="005F2971">
            <w:pPr>
              <w:keepNext/>
              <w:spacing w:before="0" w:after="0" w:line="210" w:lineRule="atLeast"/>
              <w:rPr>
                <w:rFonts w:eastAsia="Calibri" w:cs="F"/>
                <w:sz w:val="16"/>
              </w:rPr>
            </w:pPr>
            <w:r>
              <w:rPr>
                <w:rFonts w:eastAsia="Calibri" w:cs="F"/>
                <w:sz w:val="16"/>
                <w:lang w:eastAsia="de-DE"/>
              </w:rPr>
              <w:t>Ministerialblattes für das Land Nordrhein-Westfalen</w:t>
            </w:r>
          </w:p>
        </w:tc>
      </w:tr>
      <w:tr w:rsidR="00212A0B" w14:paraId="0F673283"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7AD8E270" w14:textId="77777777" w:rsidR="00212A0B" w:rsidRDefault="00212A0B" w:rsidP="005F2971">
            <w:pPr>
              <w:keepNext/>
              <w:spacing w:before="0" w:after="0" w:line="210" w:lineRule="atLeast"/>
              <w:rPr>
                <w:rFonts w:eastAsia="Calibri" w:cs="F"/>
                <w:sz w:val="16"/>
                <w:lang w:eastAsia="de-DE"/>
              </w:rPr>
            </w:pPr>
            <w:r>
              <w:rPr>
                <w:rFonts w:eastAsia="Calibri" w:cs="F"/>
                <w:sz w:val="16"/>
                <w:lang w:eastAsia="de-DE"/>
              </w:rPr>
              <w:t>MHKBD</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6D73D2B4" w14:textId="77777777" w:rsidR="00212A0B" w:rsidRDefault="00212A0B" w:rsidP="005F2971">
            <w:pPr>
              <w:keepNext/>
              <w:spacing w:before="0" w:after="0" w:line="210" w:lineRule="atLeast"/>
              <w:rPr>
                <w:rFonts w:eastAsia="Calibri" w:cs="F"/>
                <w:sz w:val="16"/>
                <w:lang w:eastAsia="de-DE"/>
              </w:rPr>
            </w:pPr>
            <w:r>
              <w:rPr>
                <w:rFonts w:eastAsia="Calibri" w:cs="F"/>
                <w:sz w:val="16"/>
                <w:lang w:eastAsia="de-DE"/>
              </w:rPr>
              <w:t>Ministerium für Heimat, Kommunales, Bau und Digitalisierung des Landes Nordrhein-Westfalen</w:t>
            </w:r>
          </w:p>
        </w:tc>
      </w:tr>
      <w:tr w:rsidR="00212A0B" w14:paraId="2497493B"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05098D75" w14:textId="77777777" w:rsidR="00212A0B" w:rsidRDefault="00212A0B" w:rsidP="005F2971">
            <w:pPr>
              <w:keepNext/>
              <w:spacing w:before="0" w:after="0" w:line="210" w:lineRule="atLeast"/>
              <w:rPr>
                <w:rFonts w:eastAsia="Calibri" w:cs="F"/>
                <w:sz w:val="16"/>
              </w:rPr>
            </w:pPr>
            <w:r>
              <w:rPr>
                <w:rFonts w:eastAsia="Calibri" w:cs="F"/>
                <w:sz w:val="16"/>
                <w:lang w:eastAsia="de-DE"/>
              </w:rPr>
              <w:t>NRW</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A846804" w14:textId="77777777" w:rsidR="00212A0B" w:rsidRDefault="00212A0B" w:rsidP="005F2971">
            <w:pPr>
              <w:keepNext/>
              <w:spacing w:before="0" w:after="0" w:line="210" w:lineRule="atLeast"/>
              <w:rPr>
                <w:rFonts w:eastAsia="Calibri" w:cs="F"/>
                <w:sz w:val="16"/>
              </w:rPr>
            </w:pPr>
            <w:r>
              <w:rPr>
                <w:rFonts w:eastAsia="Calibri" w:cs="F"/>
                <w:sz w:val="16"/>
                <w:lang w:eastAsia="de-DE"/>
              </w:rPr>
              <w:t>Nordrhein-Westfalen</w:t>
            </w:r>
          </w:p>
        </w:tc>
      </w:tr>
      <w:tr w:rsidR="00212A0B" w14:paraId="7BB741C7"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AE125DD" w14:textId="77777777" w:rsidR="00212A0B" w:rsidRDefault="00212A0B" w:rsidP="005F2971">
            <w:pPr>
              <w:keepNext/>
              <w:spacing w:before="0" w:after="0" w:line="210" w:lineRule="atLeast"/>
              <w:rPr>
                <w:rFonts w:eastAsia="Calibri" w:cs="F"/>
                <w:sz w:val="16"/>
              </w:rPr>
            </w:pPr>
            <w:r>
              <w:rPr>
                <w:rFonts w:eastAsia="Calibri" w:cs="F"/>
                <w:sz w:val="16"/>
                <w:lang w:eastAsia="de-DE"/>
              </w:rPr>
              <w:t>o.g.</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0A76696D" w14:textId="77777777" w:rsidR="00212A0B" w:rsidRDefault="00212A0B" w:rsidP="005F2971">
            <w:pPr>
              <w:keepNext/>
              <w:spacing w:before="0" w:after="0" w:line="210" w:lineRule="atLeast"/>
              <w:rPr>
                <w:rFonts w:eastAsia="Calibri" w:cs="F"/>
                <w:sz w:val="16"/>
              </w:rPr>
            </w:pPr>
            <w:r>
              <w:rPr>
                <w:rFonts w:eastAsia="Calibri" w:cs="F"/>
                <w:sz w:val="16"/>
                <w:lang w:eastAsia="de-DE"/>
              </w:rPr>
              <w:t>oben genannte(n)</w:t>
            </w:r>
          </w:p>
        </w:tc>
      </w:tr>
      <w:tr w:rsidR="00212A0B" w14:paraId="1DD23F2C"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40635E90" w14:textId="77777777" w:rsidR="00212A0B" w:rsidRDefault="00212A0B" w:rsidP="005F2971">
            <w:pPr>
              <w:keepNext/>
              <w:spacing w:before="0" w:after="0" w:line="210" w:lineRule="atLeast"/>
              <w:rPr>
                <w:rFonts w:eastAsia="Calibri" w:cs="F"/>
                <w:sz w:val="16"/>
              </w:rPr>
            </w:pPr>
            <w:r>
              <w:rPr>
                <w:rFonts w:eastAsia="Calibri" w:cs="F"/>
                <w:sz w:val="16"/>
                <w:lang w:eastAsia="de-DE"/>
              </w:rPr>
              <w:t>PartGG</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3F2F8A1D" w14:textId="77777777" w:rsidR="00212A0B" w:rsidRDefault="00212A0B" w:rsidP="005F2971">
            <w:pPr>
              <w:keepNext/>
              <w:spacing w:before="0" w:after="0" w:line="210" w:lineRule="atLeast"/>
              <w:rPr>
                <w:rFonts w:eastAsia="Calibri" w:cs="F"/>
                <w:sz w:val="16"/>
              </w:rPr>
            </w:pPr>
            <w:r>
              <w:rPr>
                <w:rFonts w:eastAsia="Calibri" w:cs="F"/>
                <w:sz w:val="16"/>
                <w:lang w:eastAsia="de-DE"/>
              </w:rPr>
              <w:t>Gesetz über Partnerschaftsgesellschaften Angehöriger Freiberuflicher Berufe</w:t>
            </w:r>
          </w:p>
        </w:tc>
      </w:tr>
      <w:tr w:rsidR="00212A0B" w14:paraId="22F73818"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25CE3D26" w14:textId="77777777" w:rsidR="00212A0B" w:rsidRDefault="00212A0B" w:rsidP="005F2971">
            <w:pPr>
              <w:keepNext/>
              <w:spacing w:before="0" w:after="0" w:line="210" w:lineRule="atLeast"/>
              <w:rPr>
                <w:rFonts w:eastAsia="Calibri" w:cs="F"/>
                <w:sz w:val="16"/>
              </w:rPr>
            </w:pPr>
            <w:r>
              <w:rPr>
                <w:rFonts w:eastAsia="Calibri" w:cs="F"/>
                <w:sz w:val="16"/>
                <w:lang w:eastAsia="de-DE"/>
              </w:rPr>
              <w:t>S.</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740C9D30" w14:textId="77777777" w:rsidR="00212A0B" w:rsidRDefault="00212A0B" w:rsidP="005F2971">
            <w:pPr>
              <w:keepNext/>
              <w:spacing w:before="0" w:after="0" w:line="210" w:lineRule="atLeast"/>
              <w:rPr>
                <w:rFonts w:eastAsia="Calibri" w:cs="F"/>
                <w:sz w:val="16"/>
              </w:rPr>
            </w:pPr>
            <w:r>
              <w:rPr>
                <w:rFonts w:eastAsia="Calibri" w:cs="F"/>
                <w:sz w:val="16"/>
                <w:lang w:eastAsia="de-DE"/>
              </w:rPr>
              <w:t>Seite</w:t>
            </w:r>
          </w:p>
        </w:tc>
      </w:tr>
      <w:tr w:rsidR="00212A0B" w14:paraId="2E2143CD"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012FBBBA" w14:textId="77777777" w:rsidR="00212A0B" w:rsidRDefault="00212A0B" w:rsidP="005F2971">
            <w:pPr>
              <w:keepNext/>
              <w:spacing w:before="0" w:after="0" w:line="210" w:lineRule="atLeast"/>
              <w:rPr>
                <w:rFonts w:eastAsia="Calibri" w:cs="F"/>
                <w:sz w:val="16"/>
              </w:rPr>
            </w:pPr>
            <w:proofErr w:type="spellStart"/>
            <w:r>
              <w:rPr>
                <w:rFonts w:eastAsia="Calibri" w:cs="F"/>
                <w:sz w:val="16"/>
                <w:lang w:eastAsia="de-DE"/>
              </w:rPr>
              <w:t>SchwarzArbG</w:t>
            </w:r>
            <w:proofErr w:type="spellEnd"/>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1F417B3B" w14:textId="77777777" w:rsidR="00212A0B" w:rsidRDefault="00212A0B" w:rsidP="005F2971">
            <w:pPr>
              <w:keepNext/>
              <w:spacing w:before="0" w:after="0" w:line="210" w:lineRule="atLeast"/>
              <w:rPr>
                <w:rFonts w:eastAsia="Calibri" w:cs="F"/>
                <w:sz w:val="16"/>
              </w:rPr>
            </w:pPr>
            <w:r>
              <w:rPr>
                <w:rFonts w:eastAsia="Calibri" w:cs="F"/>
                <w:sz w:val="16"/>
                <w:lang w:eastAsia="de-DE"/>
              </w:rPr>
              <w:t>Schwarzarbeiterbekämpfungsgesetz</w:t>
            </w:r>
          </w:p>
        </w:tc>
      </w:tr>
      <w:tr w:rsidR="00212A0B" w14:paraId="2BAE3E2C"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4D32EBBF" w14:textId="77777777" w:rsidR="00212A0B" w:rsidRDefault="00212A0B" w:rsidP="005F2971">
            <w:pPr>
              <w:keepNext/>
              <w:spacing w:before="0" w:after="0" w:line="210" w:lineRule="atLeast"/>
              <w:rPr>
                <w:rFonts w:eastAsia="Calibri" w:cs="F"/>
                <w:sz w:val="16"/>
              </w:rPr>
            </w:pPr>
            <w:proofErr w:type="spellStart"/>
            <w:r>
              <w:rPr>
                <w:rFonts w:eastAsia="Calibri" w:cs="F"/>
                <w:sz w:val="16"/>
                <w:lang w:eastAsia="de-DE"/>
              </w:rPr>
              <w:t>TVgG</w:t>
            </w:r>
            <w:proofErr w:type="spellEnd"/>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358ADF88" w14:textId="77777777" w:rsidR="00212A0B" w:rsidRDefault="00212A0B" w:rsidP="005F2971">
            <w:pPr>
              <w:keepNext/>
              <w:spacing w:before="0" w:after="0" w:line="210" w:lineRule="atLeast"/>
              <w:rPr>
                <w:rFonts w:eastAsia="Calibri" w:cs="F"/>
                <w:sz w:val="16"/>
              </w:rPr>
            </w:pPr>
            <w:r>
              <w:rPr>
                <w:rFonts w:eastAsia="Calibri" w:cs="F"/>
                <w:sz w:val="16"/>
                <w:lang w:eastAsia="de-DE"/>
              </w:rPr>
              <w:t>Tariftreue- und Vergabegesetz Nordrhein-Westfalen</w:t>
            </w:r>
          </w:p>
        </w:tc>
      </w:tr>
      <w:tr w:rsidR="00212A0B" w14:paraId="0FD65AA2"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693E8B0" w14:textId="77777777" w:rsidR="00212A0B" w:rsidRDefault="00212A0B" w:rsidP="005F2971">
            <w:pPr>
              <w:keepNext/>
              <w:spacing w:before="0" w:after="0" w:line="210" w:lineRule="atLeast"/>
              <w:rPr>
                <w:rFonts w:eastAsia="Calibri" w:cs="F"/>
                <w:sz w:val="16"/>
              </w:rPr>
            </w:pPr>
            <w:proofErr w:type="spellStart"/>
            <w:r>
              <w:rPr>
                <w:rFonts w:eastAsia="Calibri" w:cs="F"/>
                <w:sz w:val="16"/>
                <w:lang w:eastAsia="de-DE"/>
              </w:rPr>
              <w:t>UVgO</w:t>
            </w:r>
            <w:proofErr w:type="spellEnd"/>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03528574" w14:textId="77777777" w:rsidR="00212A0B" w:rsidRDefault="00212A0B" w:rsidP="005F2971">
            <w:pPr>
              <w:keepNext/>
              <w:spacing w:before="0" w:after="0" w:line="210" w:lineRule="atLeast"/>
              <w:rPr>
                <w:rFonts w:eastAsia="Calibri" w:cs="F"/>
                <w:sz w:val="16"/>
              </w:rPr>
            </w:pPr>
            <w:r>
              <w:rPr>
                <w:rFonts w:eastAsia="Calibri" w:cs="F"/>
                <w:sz w:val="16"/>
                <w:lang w:eastAsia="de-DE"/>
              </w:rPr>
              <w:t>Unterschwellenvergabeordnung</w:t>
            </w:r>
          </w:p>
        </w:tc>
      </w:tr>
      <w:tr w:rsidR="00212A0B" w14:paraId="1583048B"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2D5FA1C4" w14:textId="77777777" w:rsidR="00212A0B" w:rsidRDefault="00212A0B" w:rsidP="005F2971">
            <w:pPr>
              <w:keepNext/>
              <w:spacing w:before="0" w:after="0" w:line="210" w:lineRule="atLeast"/>
              <w:rPr>
                <w:rFonts w:eastAsia="Calibri" w:cs="F"/>
                <w:sz w:val="16"/>
              </w:rPr>
            </w:pPr>
            <w:proofErr w:type="spellStart"/>
            <w:r>
              <w:rPr>
                <w:rFonts w:eastAsia="Calibri" w:cs="F"/>
                <w:sz w:val="16"/>
                <w:lang w:eastAsia="de-DE"/>
              </w:rPr>
              <w:t>VergStatVO</w:t>
            </w:r>
            <w:proofErr w:type="spellEnd"/>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48CDAD6D" w14:textId="77777777" w:rsidR="00212A0B" w:rsidRDefault="00212A0B" w:rsidP="005F2971">
            <w:pPr>
              <w:keepNext/>
              <w:spacing w:before="0" w:after="0" w:line="210" w:lineRule="atLeast"/>
              <w:rPr>
                <w:rFonts w:eastAsia="Calibri" w:cs="F"/>
                <w:sz w:val="16"/>
              </w:rPr>
            </w:pPr>
            <w:r>
              <w:rPr>
                <w:rFonts w:eastAsia="Calibri" w:cs="F"/>
                <w:sz w:val="16"/>
                <w:lang w:eastAsia="de-DE"/>
              </w:rPr>
              <w:t>Verordnung zur Statistik über die Vergabe öffentlicher Aufträge und Konzessionen</w:t>
            </w:r>
          </w:p>
        </w:tc>
      </w:tr>
      <w:tr w:rsidR="00212A0B" w14:paraId="29239B3F"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E520915" w14:textId="77777777" w:rsidR="00212A0B" w:rsidRDefault="00212A0B" w:rsidP="005F2971">
            <w:pPr>
              <w:keepNext/>
              <w:spacing w:before="0" w:after="0" w:line="210" w:lineRule="atLeast"/>
              <w:rPr>
                <w:rFonts w:eastAsia="Calibri" w:cs="F"/>
                <w:sz w:val="16"/>
              </w:rPr>
            </w:pPr>
            <w:r>
              <w:rPr>
                <w:rFonts w:eastAsia="Calibri" w:cs="F"/>
                <w:sz w:val="16"/>
                <w:lang w:eastAsia="de-DE"/>
              </w:rPr>
              <w:t>VgV</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0C335A80" w14:textId="77777777" w:rsidR="00212A0B" w:rsidRDefault="00212A0B" w:rsidP="005F2971">
            <w:pPr>
              <w:keepNext/>
              <w:spacing w:before="0" w:after="0" w:line="210" w:lineRule="atLeast"/>
              <w:rPr>
                <w:rFonts w:eastAsia="Calibri" w:cs="F"/>
                <w:sz w:val="16"/>
              </w:rPr>
            </w:pPr>
            <w:r>
              <w:rPr>
                <w:rFonts w:eastAsia="Calibri" w:cs="F"/>
                <w:sz w:val="16"/>
                <w:lang w:eastAsia="de-DE"/>
              </w:rPr>
              <w:t>Verordnung über die Vergabe öffentlicher Aufträge</w:t>
            </w:r>
          </w:p>
        </w:tc>
      </w:tr>
      <w:tr w:rsidR="00212A0B" w14:paraId="5E72D326"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60782F2" w14:textId="77777777" w:rsidR="00212A0B" w:rsidRDefault="00212A0B" w:rsidP="005F2971">
            <w:pPr>
              <w:keepNext/>
              <w:spacing w:before="0" w:after="0" w:line="210" w:lineRule="atLeast"/>
              <w:rPr>
                <w:rFonts w:eastAsia="Calibri" w:cs="F"/>
                <w:sz w:val="16"/>
              </w:rPr>
            </w:pPr>
            <w:r>
              <w:rPr>
                <w:rFonts w:eastAsia="Calibri" w:cs="F"/>
                <w:sz w:val="16"/>
                <w:lang w:eastAsia="de-DE"/>
              </w:rPr>
              <w:t>VMP NRW</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79376D8E" w14:textId="77777777" w:rsidR="00212A0B" w:rsidRDefault="00212A0B" w:rsidP="005F2971">
            <w:pPr>
              <w:keepNext/>
              <w:spacing w:before="0" w:after="0" w:line="210" w:lineRule="atLeast"/>
              <w:rPr>
                <w:rFonts w:eastAsia="Calibri" w:cs="F"/>
                <w:sz w:val="16"/>
              </w:rPr>
            </w:pPr>
            <w:r>
              <w:rPr>
                <w:rFonts w:eastAsia="Calibri" w:cs="F"/>
                <w:sz w:val="16"/>
                <w:lang w:eastAsia="de-DE"/>
              </w:rPr>
              <w:t>Vergabemarktplatz Nordrhein-Westfalen</w:t>
            </w:r>
          </w:p>
        </w:tc>
      </w:tr>
      <w:tr w:rsidR="00212A0B" w14:paraId="428CD488"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761B4EAA" w14:textId="77777777" w:rsidR="00212A0B" w:rsidRDefault="00212A0B" w:rsidP="005F2971">
            <w:pPr>
              <w:keepNext/>
              <w:spacing w:before="0" w:after="0" w:line="210" w:lineRule="atLeast"/>
              <w:rPr>
                <w:rFonts w:eastAsia="Calibri" w:cs="F"/>
                <w:sz w:val="16"/>
              </w:rPr>
            </w:pPr>
            <w:r>
              <w:rPr>
                <w:rFonts w:eastAsia="Calibri" w:cs="F"/>
                <w:sz w:val="16"/>
                <w:lang w:eastAsia="de-DE"/>
              </w:rPr>
              <w:t>VOB</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10A5C540" w14:textId="77777777" w:rsidR="00212A0B" w:rsidRDefault="00212A0B" w:rsidP="005F2971">
            <w:pPr>
              <w:keepNext/>
              <w:spacing w:before="0" w:after="0" w:line="210" w:lineRule="atLeast"/>
              <w:rPr>
                <w:rFonts w:eastAsia="Calibri" w:cs="F"/>
                <w:sz w:val="16"/>
              </w:rPr>
            </w:pPr>
            <w:r>
              <w:rPr>
                <w:rFonts w:eastAsia="Calibri" w:cs="F"/>
                <w:sz w:val="16"/>
                <w:lang w:eastAsia="de-DE"/>
              </w:rPr>
              <w:t>Vergabe- und Vertragsordnung für Bauleistungen</w:t>
            </w:r>
          </w:p>
        </w:tc>
      </w:tr>
      <w:tr w:rsidR="00212A0B" w14:paraId="4446C2C4"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2FC24CA9" w14:textId="77777777" w:rsidR="00212A0B" w:rsidRDefault="00212A0B" w:rsidP="005F2971">
            <w:pPr>
              <w:keepNext/>
              <w:spacing w:before="0" w:after="0" w:line="210" w:lineRule="atLeast"/>
              <w:rPr>
                <w:rFonts w:eastAsia="Calibri" w:cs="F"/>
                <w:sz w:val="16"/>
              </w:rPr>
            </w:pPr>
            <w:r>
              <w:rPr>
                <w:rFonts w:eastAsia="Calibri" w:cs="F"/>
                <w:sz w:val="16"/>
                <w:lang w:eastAsia="de-DE"/>
              </w:rPr>
              <w:t>VOB/A</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4C03AE69" w14:textId="77777777" w:rsidR="00212A0B" w:rsidRDefault="00212A0B" w:rsidP="005F2971">
            <w:pPr>
              <w:keepNext/>
              <w:spacing w:before="0" w:after="0" w:line="210" w:lineRule="atLeast"/>
              <w:rPr>
                <w:rFonts w:eastAsia="Calibri" w:cs="F"/>
                <w:sz w:val="16"/>
              </w:rPr>
            </w:pPr>
            <w:r>
              <w:rPr>
                <w:rFonts w:eastAsia="Calibri" w:cs="F"/>
                <w:sz w:val="16"/>
                <w:lang w:eastAsia="de-DE"/>
              </w:rPr>
              <w:t>Vergabe- und Vertragsordnung für Bauleistungen Teil A</w:t>
            </w:r>
          </w:p>
        </w:tc>
      </w:tr>
      <w:tr w:rsidR="00212A0B" w14:paraId="55F58E95"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69AAC420" w14:textId="77777777" w:rsidR="00212A0B" w:rsidRDefault="00212A0B" w:rsidP="005F2971">
            <w:pPr>
              <w:keepNext/>
              <w:spacing w:before="0" w:after="0" w:line="210" w:lineRule="atLeast"/>
              <w:rPr>
                <w:rFonts w:eastAsia="Calibri" w:cs="F"/>
                <w:sz w:val="16"/>
              </w:rPr>
            </w:pPr>
            <w:r>
              <w:rPr>
                <w:rFonts w:eastAsia="Calibri" w:cs="F"/>
                <w:sz w:val="16"/>
                <w:lang w:eastAsia="de-DE"/>
              </w:rPr>
              <w:t>VOB/A-EU</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732E12E" w14:textId="77777777" w:rsidR="00212A0B" w:rsidRDefault="00212A0B" w:rsidP="005F2971">
            <w:pPr>
              <w:keepNext/>
              <w:spacing w:before="0" w:after="0" w:line="210" w:lineRule="atLeast"/>
              <w:rPr>
                <w:rFonts w:eastAsia="Calibri" w:cs="F"/>
                <w:sz w:val="16"/>
              </w:rPr>
            </w:pPr>
            <w:r>
              <w:rPr>
                <w:rFonts w:eastAsia="Calibri" w:cs="F"/>
                <w:sz w:val="16"/>
                <w:lang w:eastAsia="de-DE"/>
              </w:rPr>
              <w:t>Vergabebestimmungen im Anwendungsbereich der Richtlinie 2014/24/EU</w:t>
            </w:r>
          </w:p>
        </w:tc>
      </w:tr>
      <w:tr w:rsidR="00212A0B" w14:paraId="036D60DC"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486BC10C" w14:textId="77777777" w:rsidR="00212A0B" w:rsidRDefault="00212A0B" w:rsidP="005F2971">
            <w:pPr>
              <w:keepNext/>
              <w:spacing w:before="0" w:after="0" w:line="210" w:lineRule="atLeast"/>
              <w:rPr>
                <w:rFonts w:eastAsia="Calibri" w:cs="F"/>
                <w:sz w:val="16"/>
              </w:rPr>
            </w:pPr>
            <w:proofErr w:type="spellStart"/>
            <w:r>
              <w:rPr>
                <w:rFonts w:eastAsia="Calibri" w:cs="F"/>
                <w:sz w:val="16"/>
                <w:lang w:eastAsia="de-DE"/>
              </w:rPr>
              <w:t>WRegG</w:t>
            </w:r>
            <w:proofErr w:type="spellEnd"/>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68D9B7CF" w14:textId="77777777" w:rsidR="00212A0B" w:rsidRDefault="00212A0B" w:rsidP="005F2971">
            <w:pPr>
              <w:keepNext/>
              <w:spacing w:before="0" w:after="0" w:line="210" w:lineRule="atLeast"/>
              <w:rPr>
                <w:rFonts w:eastAsia="Calibri" w:cs="F"/>
                <w:sz w:val="16"/>
              </w:rPr>
            </w:pPr>
            <w:r>
              <w:rPr>
                <w:rFonts w:eastAsia="Calibri" w:cs="F"/>
                <w:sz w:val="16"/>
                <w:lang w:eastAsia="de-DE"/>
              </w:rPr>
              <w:t>Wettbewerbsregistergesetz</w:t>
            </w:r>
          </w:p>
        </w:tc>
      </w:tr>
      <w:tr w:rsidR="00212A0B" w14:paraId="30065040" w14:textId="77777777" w:rsidTr="005F2971">
        <w:tc>
          <w:tcPr>
            <w:tcW w:w="411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1629978A" w14:textId="77777777" w:rsidR="00212A0B" w:rsidRDefault="00212A0B" w:rsidP="005F2971">
            <w:pPr>
              <w:keepNext/>
              <w:spacing w:before="0" w:after="0" w:line="210" w:lineRule="atLeast"/>
              <w:rPr>
                <w:rFonts w:eastAsia="Calibri" w:cs="F"/>
                <w:sz w:val="16"/>
              </w:rPr>
            </w:pPr>
            <w:r>
              <w:rPr>
                <w:rFonts w:eastAsia="Calibri" w:cs="F"/>
                <w:sz w:val="16"/>
                <w:lang w:eastAsia="de-DE"/>
              </w:rPr>
              <w:t>Ziff.</w:t>
            </w:r>
          </w:p>
        </w:tc>
        <w:tc>
          <w:tcPr>
            <w:tcW w:w="438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4A744C6" w14:textId="77777777" w:rsidR="00212A0B" w:rsidRDefault="00212A0B" w:rsidP="005F2971">
            <w:pPr>
              <w:keepNext/>
              <w:spacing w:before="0" w:after="0" w:line="210" w:lineRule="atLeast"/>
              <w:rPr>
                <w:rFonts w:eastAsia="Calibri" w:cs="F"/>
                <w:sz w:val="16"/>
              </w:rPr>
            </w:pPr>
            <w:r>
              <w:rPr>
                <w:rFonts w:eastAsia="Calibri" w:cs="F"/>
                <w:sz w:val="16"/>
                <w:lang w:eastAsia="de-DE"/>
              </w:rPr>
              <w:t>Ziffer</w:t>
            </w:r>
          </w:p>
        </w:tc>
      </w:tr>
    </w:tbl>
    <w:p w14:paraId="794FDF8A" w14:textId="77777777" w:rsidR="00212A0B" w:rsidRDefault="00212A0B" w:rsidP="00DD3FDC">
      <w:pPr>
        <w:pStyle w:val="Flietext"/>
      </w:pPr>
    </w:p>
    <w:p w14:paraId="08907F22" w14:textId="33FFCC06" w:rsidR="00DD3FDC" w:rsidRDefault="00DD3FDC">
      <w:pPr>
        <w:spacing w:before="0" w:line="276" w:lineRule="auto"/>
        <w:rPr>
          <w:sz w:val="20"/>
        </w:rPr>
      </w:pPr>
      <w:r>
        <w:br w:type="page"/>
      </w:r>
    </w:p>
    <w:bookmarkStart w:id="58" w:name="Wertgrenzentabelle"/>
    <w:p w14:paraId="7742CA08" w14:textId="73085D94" w:rsidR="00DD3FDC" w:rsidRPr="00212A0B" w:rsidRDefault="00AC7E32" w:rsidP="00E24998">
      <w:pPr>
        <w:pStyle w:val="berschrift2"/>
        <w:numPr>
          <w:ilvl w:val="0"/>
          <w:numId w:val="0"/>
        </w:numPr>
        <w:ind w:left="1134" w:hanging="1134"/>
        <w:rPr>
          <w:u w:val="single"/>
        </w:rPr>
      </w:pPr>
      <w:r w:rsidRPr="00212A0B">
        <w:rPr>
          <w:u w:val="single"/>
        </w:rPr>
        <w:fldChar w:fldCharType="begin"/>
      </w:r>
      <w:r w:rsidRPr="00212A0B">
        <w:rPr>
          <w:u w:val="single"/>
        </w:rPr>
        <w:instrText>HYPERLINK  \l "Wertgrenzentabelle_S"</w:instrText>
      </w:r>
      <w:r w:rsidRPr="00212A0B">
        <w:rPr>
          <w:u w:val="single"/>
        </w:rPr>
      </w:r>
      <w:r w:rsidRPr="00212A0B">
        <w:rPr>
          <w:u w:val="single"/>
        </w:rPr>
        <w:fldChar w:fldCharType="separate"/>
      </w:r>
      <w:bookmarkStart w:id="59" w:name="_Toc215054298"/>
      <w:r w:rsidR="00E24998" w:rsidRPr="00212A0B">
        <w:rPr>
          <w:rStyle w:val="Hyperlink"/>
        </w:rPr>
        <w:t xml:space="preserve">Anlage </w:t>
      </w:r>
      <w:r w:rsidRPr="00212A0B">
        <w:rPr>
          <w:u w:val="single"/>
        </w:rPr>
        <w:fldChar w:fldCharType="end"/>
      </w:r>
      <w:bookmarkEnd w:id="58"/>
      <w:r w:rsidR="00212A0B" w:rsidRPr="00212A0B">
        <w:rPr>
          <w:u w:val="single"/>
        </w:rPr>
        <w:t>2</w:t>
      </w:r>
      <w:r w:rsidR="00E24998" w:rsidRPr="00212A0B">
        <w:rPr>
          <w:u w:val="single"/>
        </w:rPr>
        <w:t xml:space="preserve">: </w:t>
      </w:r>
      <w:proofErr w:type="spellStart"/>
      <w:r w:rsidR="00E24998" w:rsidRPr="00212A0B">
        <w:rPr>
          <w:u w:val="single"/>
        </w:rPr>
        <w:t>Wertgrenzentabelle</w:t>
      </w:r>
      <w:bookmarkEnd w:id="59"/>
      <w:proofErr w:type="spellEnd"/>
    </w:p>
    <w:p w14:paraId="413FC3DA" w14:textId="77777777" w:rsidR="00E24998" w:rsidRDefault="00E24998" w:rsidP="00E24998">
      <w:pPr>
        <w:keepNext/>
        <w:keepLines/>
        <w:spacing w:before="500" w:line="200" w:lineRule="atLeast"/>
      </w:pPr>
      <w:r>
        <w:rPr>
          <w:b/>
          <w:sz w:val="18"/>
        </w:rPr>
        <w:t xml:space="preserve">Wertgrenzen für die Wahl der Vergabeart ab dem 01. Januar 2026 in Euro (netto) - </w:t>
      </w:r>
      <w:r>
        <w:rPr>
          <w:b/>
          <w:i/>
          <w:sz w:val="18"/>
        </w:rPr>
        <w:t>Stand: Oktober 2025</w:t>
      </w:r>
    </w:p>
    <w:tbl>
      <w:tblPr>
        <w:tblW w:w="8498" w:type="dxa"/>
        <w:tblInd w:w="2" w:type="dxa"/>
        <w:tblLayout w:type="fixed"/>
        <w:tblCellMar>
          <w:left w:w="10" w:type="dxa"/>
          <w:right w:w="10" w:type="dxa"/>
        </w:tblCellMar>
        <w:tblLook w:val="04A0" w:firstRow="1" w:lastRow="0" w:firstColumn="1" w:lastColumn="0" w:noHBand="0" w:noVBand="1"/>
      </w:tblPr>
      <w:tblGrid>
        <w:gridCol w:w="1839"/>
        <w:gridCol w:w="1664"/>
        <w:gridCol w:w="1665"/>
        <w:gridCol w:w="1665"/>
        <w:gridCol w:w="1665"/>
      </w:tblGrid>
      <w:tr w:rsidR="00E24998" w14:paraId="732DE77C" w14:textId="77777777" w:rsidTr="00E3355C">
        <w:trPr>
          <w:tblHeader/>
        </w:trPr>
        <w:tc>
          <w:tcPr>
            <w:tcW w:w="1839" w:type="dxa"/>
            <w:tcBorders>
              <w:top w:val="single" w:sz="2" w:space="0" w:color="00ACE5"/>
              <w:left w:val="single" w:sz="2" w:space="0" w:color="00ACE5"/>
              <w:bottom w:val="single" w:sz="2" w:space="0" w:color="00ACE5"/>
              <w:right w:val="single" w:sz="2" w:space="0" w:color="00ACE5"/>
            </w:tcBorders>
            <w:shd w:val="clear" w:color="auto" w:fill="8CA3AF"/>
            <w:tcMar>
              <w:top w:w="57" w:type="dxa"/>
              <w:left w:w="85" w:type="dxa"/>
              <w:bottom w:w="57" w:type="dxa"/>
              <w:right w:w="85" w:type="dxa"/>
            </w:tcMar>
            <w:vAlign w:val="center"/>
          </w:tcPr>
          <w:p w14:paraId="31A2CDA8" w14:textId="77777777" w:rsidR="00E24998" w:rsidRDefault="00E24998" w:rsidP="00E3355C">
            <w:pPr>
              <w:keepNext/>
              <w:spacing w:before="0" w:after="0" w:line="210" w:lineRule="atLeast"/>
              <w:jc w:val="center"/>
              <w:rPr>
                <w:rFonts w:eastAsia="Calibri" w:cs="F"/>
                <w:b/>
                <w:color w:val="FFFFFF"/>
                <w:sz w:val="20"/>
              </w:rPr>
            </w:pPr>
            <w:bookmarkStart w:id="60" w:name="_Hlk213322234"/>
            <w:r>
              <w:rPr>
                <w:rFonts w:eastAsia="Calibri" w:cs="F"/>
                <w:b/>
                <w:color w:val="FFFFFF"/>
                <w:sz w:val="16"/>
              </w:rPr>
              <w:t>Leistungsart</w:t>
            </w:r>
          </w:p>
        </w:tc>
        <w:tc>
          <w:tcPr>
            <w:tcW w:w="1664" w:type="dxa"/>
            <w:tcBorders>
              <w:top w:val="single" w:sz="2" w:space="0" w:color="00ACE5"/>
              <w:left w:val="single" w:sz="2" w:space="0" w:color="00ACE5"/>
              <w:bottom w:val="single" w:sz="2" w:space="0" w:color="00ACE5"/>
              <w:right w:val="single" w:sz="2" w:space="0" w:color="00ACE5"/>
            </w:tcBorders>
            <w:shd w:val="clear" w:color="auto" w:fill="8CA3AF"/>
            <w:tcMar>
              <w:top w:w="57" w:type="dxa"/>
              <w:left w:w="85" w:type="dxa"/>
              <w:bottom w:w="57" w:type="dxa"/>
              <w:right w:w="85" w:type="dxa"/>
            </w:tcMar>
            <w:vAlign w:val="center"/>
          </w:tcPr>
          <w:p w14:paraId="4DB8803F" w14:textId="77777777" w:rsidR="00E24998" w:rsidRDefault="00E24998" w:rsidP="00E3355C">
            <w:pPr>
              <w:keepNext/>
              <w:spacing w:before="0" w:after="0" w:line="210" w:lineRule="atLeast"/>
              <w:jc w:val="center"/>
              <w:rPr>
                <w:rFonts w:eastAsia="Calibri" w:cs="F"/>
                <w:b/>
                <w:color w:val="FFFFFF"/>
                <w:sz w:val="20"/>
              </w:rPr>
            </w:pPr>
            <w:r>
              <w:rPr>
                <w:rFonts w:eastAsia="Calibri" w:cs="F"/>
                <w:b/>
                <w:color w:val="FFFFFF"/>
                <w:sz w:val="16"/>
              </w:rPr>
              <w:t>Bauleistungen</w:t>
            </w:r>
          </w:p>
        </w:tc>
        <w:tc>
          <w:tcPr>
            <w:tcW w:w="1665" w:type="dxa"/>
            <w:tcBorders>
              <w:top w:val="single" w:sz="2" w:space="0" w:color="00ACE5"/>
              <w:left w:val="single" w:sz="2" w:space="0" w:color="00ACE5"/>
              <w:bottom w:val="single" w:sz="2" w:space="0" w:color="00ACE5"/>
              <w:right w:val="single" w:sz="2" w:space="0" w:color="00ACE5"/>
            </w:tcBorders>
            <w:shd w:val="clear" w:color="auto" w:fill="8CA3AF"/>
            <w:tcMar>
              <w:top w:w="57" w:type="dxa"/>
              <w:left w:w="85" w:type="dxa"/>
              <w:bottom w:w="57" w:type="dxa"/>
              <w:right w:w="85" w:type="dxa"/>
            </w:tcMar>
            <w:vAlign w:val="center"/>
          </w:tcPr>
          <w:p w14:paraId="3A1CBF0A" w14:textId="77777777" w:rsidR="00E24998" w:rsidRDefault="00E24998" w:rsidP="00E3355C">
            <w:pPr>
              <w:keepNext/>
              <w:spacing w:before="0" w:after="0" w:line="210" w:lineRule="atLeast"/>
              <w:jc w:val="center"/>
              <w:rPr>
                <w:rFonts w:eastAsia="Calibri" w:cs="F"/>
                <w:b/>
                <w:color w:val="FFFFFF"/>
                <w:sz w:val="20"/>
              </w:rPr>
            </w:pPr>
            <w:r>
              <w:rPr>
                <w:rFonts w:eastAsia="Calibri" w:cs="F"/>
                <w:b/>
                <w:color w:val="FFFFFF"/>
                <w:sz w:val="16"/>
              </w:rPr>
              <w:t>Liefer- und</w:t>
            </w:r>
          </w:p>
          <w:p w14:paraId="7BD9A76A" w14:textId="77777777" w:rsidR="00E24998" w:rsidRDefault="00E24998" w:rsidP="00E3355C">
            <w:pPr>
              <w:keepNext/>
              <w:spacing w:before="0" w:after="0" w:line="210" w:lineRule="atLeast"/>
              <w:jc w:val="center"/>
              <w:rPr>
                <w:rFonts w:eastAsia="Calibri" w:cs="F"/>
                <w:b/>
                <w:color w:val="FFFFFF"/>
                <w:sz w:val="20"/>
              </w:rPr>
            </w:pPr>
            <w:r>
              <w:rPr>
                <w:rFonts w:eastAsia="Calibri" w:cs="F"/>
                <w:b/>
                <w:color w:val="FFFFFF"/>
                <w:sz w:val="16"/>
              </w:rPr>
              <w:t>Dienstleistungen</w:t>
            </w:r>
          </w:p>
        </w:tc>
        <w:tc>
          <w:tcPr>
            <w:tcW w:w="1665" w:type="dxa"/>
            <w:tcBorders>
              <w:top w:val="single" w:sz="2" w:space="0" w:color="00ACE5"/>
              <w:left w:val="single" w:sz="2" w:space="0" w:color="00ACE5"/>
              <w:bottom w:val="single" w:sz="2" w:space="0" w:color="00ACE5"/>
              <w:right w:val="single" w:sz="2" w:space="0" w:color="00ACE5"/>
            </w:tcBorders>
            <w:shd w:val="clear" w:color="auto" w:fill="8CA3AF"/>
            <w:tcMar>
              <w:top w:w="57" w:type="dxa"/>
              <w:left w:w="85" w:type="dxa"/>
              <w:bottom w:w="57" w:type="dxa"/>
              <w:right w:w="85" w:type="dxa"/>
            </w:tcMar>
            <w:vAlign w:val="center"/>
          </w:tcPr>
          <w:p w14:paraId="67F883F8" w14:textId="77777777" w:rsidR="00E24998" w:rsidRDefault="00E24998" w:rsidP="00E3355C">
            <w:pPr>
              <w:keepNext/>
              <w:spacing w:before="0" w:after="0" w:line="210" w:lineRule="atLeast"/>
              <w:jc w:val="center"/>
              <w:rPr>
                <w:rFonts w:eastAsia="Calibri" w:cs="F"/>
                <w:b/>
                <w:color w:val="FFFFFF"/>
                <w:sz w:val="20"/>
              </w:rPr>
            </w:pPr>
            <w:r>
              <w:rPr>
                <w:rFonts w:eastAsia="Calibri" w:cs="F"/>
                <w:b/>
                <w:color w:val="FFFFFF"/>
                <w:sz w:val="16"/>
              </w:rPr>
              <w:t>Freiberufliche</w:t>
            </w:r>
          </w:p>
          <w:p w14:paraId="43EBA1AD" w14:textId="77777777" w:rsidR="00E24998" w:rsidRDefault="00E24998" w:rsidP="00E3355C">
            <w:pPr>
              <w:keepNext/>
              <w:spacing w:before="0" w:after="0" w:line="210" w:lineRule="atLeast"/>
              <w:jc w:val="center"/>
              <w:rPr>
                <w:rFonts w:eastAsia="Calibri" w:cs="F"/>
                <w:b/>
                <w:color w:val="FFFFFF"/>
                <w:sz w:val="20"/>
              </w:rPr>
            </w:pPr>
            <w:r>
              <w:rPr>
                <w:rFonts w:eastAsia="Calibri" w:cs="F"/>
                <w:b/>
                <w:color w:val="FFFFFF"/>
                <w:sz w:val="16"/>
              </w:rPr>
              <w:t>Leistungen</w:t>
            </w:r>
          </w:p>
          <w:p w14:paraId="41A648DB" w14:textId="77777777" w:rsidR="00E24998" w:rsidRDefault="00E24998" w:rsidP="00E3355C">
            <w:pPr>
              <w:keepNext/>
              <w:spacing w:before="0" w:after="0" w:line="210" w:lineRule="atLeast"/>
              <w:jc w:val="center"/>
              <w:rPr>
                <w:rFonts w:eastAsia="Calibri" w:cs="F"/>
                <w:b/>
                <w:color w:val="FFFFFF"/>
                <w:sz w:val="20"/>
              </w:rPr>
            </w:pPr>
            <w:r>
              <w:rPr>
                <w:rFonts w:eastAsia="Calibri" w:cs="F"/>
                <w:b/>
                <w:color w:val="FFFFFF"/>
                <w:sz w:val="16"/>
              </w:rPr>
              <w:t xml:space="preserve">gem. § 50 </w:t>
            </w:r>
            <w:proofErr w:type="spellStart"/>
            <w:r>
              <w:rPr>
                <w:rFonts w:eastAsia="Calibri" w:cs="F"/>
                <w:b/>
                <w:color w:val="FFFFFF"/>
                <w:sz w:val="16"/>
              </w:rPr>
              <w:t>UVgO</w:t>
            </w:r>
            <w:proofErr w:type="spellEnd"/>
          </w:p>
        </w:tc>
        <w:tc>
          <w:tcPr>
            <w:tcW w:w="1665" w:type="dxa"/>
            <w:tcBorders>
              <w:top w:val="single" w:sz="2" w:space="0" w:color="00ACE5"/>
              <w:left w:val="single" w:sz="2" w:space="0" w:color="00ACE5"/>
              <w:bottom w:val="single" w:sz="2" w:space="0" w:color="00ACE5"/>
              <w:right w:val="single" w:sz="2" w:space="0" w:color="00ACE5"/>
            </w:tcBorders>
            <w:shd w:val="clear" w:color="auto" w:fill="8CA3AF"/>
            <w:tcMar>
              <w:top w:w="57" w:type="dxa"/>
              <w:left w:w="85" w:type="dxa"/>
              <w:bottom w:w="57" w:type="dxa"/>
              <w:right w:w="85" w:type="dxa"/>
            </w:tcMar>
            <w:vAlign w:val="center"/>
          </w:tcPr>
          <w:p w14:paraId="2345DFB0" w14:textId="77777777" w:rsidR="00E24998" w:rsidRDefault="00E24998" w:rsidP="00E3355C">
            <w:pPr>
              <w:keepNext/>
              <w:spacing w:before="0" w:after="0" w:line="210" w:lineRule="atLeast"/>
              <w:jc w:val="center"/>
              <w:rPr>
                <w:rFonts w:eastAsia="Calibri" w:cs="F"/>
                <w:b/>
                <w:color w:val="FFFFFF"/>
                <w:sz w:val="16"/>
              </w:rPr>
            </w:pPr>
            <w:r>
              <w:rPr>
                <w:rFonts w:eastAsia="Calibri" w:cs="F"/>
                <w:b/>
                <w:color w:val="FFFFFF"/>
                <w:sz w:val="16"/>
              </w:rPr>
              <w:t xml:space="preserve">Soziale oder </w:t>
            </w:r>
          </w:p>
          <w:p w14:paraId="4AA32C84" w14:textId="77777777" w:rsidR="00E24998" w:rsidRDefault="00E24998" w:rsidP="00E3355C">
            <w:pPr>
              <w:keepNext/>
              <w:spacing w:before="0" w:after="0" w:line="210" w:lineRule="atLeast"/>
              <w:jc w:val="center"/>
              <w:rPr>
                <w:rFonts w:eastAsia="Calibri" w:cs="F"/>
                <w:b/>
                <w:color w:val="FFFFFF"/>
                <w:sz w:val="16"/>
              </w:rPr>
            </w:pPr>
            <w:r>
              <w:rPr>
                <w:rFonts w:eastAsia="Calibri" w:cs="F"/>
                <w:b/>
                <w:color w:val="FFFFFF"/>
                <w:sz w:val="16"/>
              </w:rPr>
              <w:t xml:space="preserve">besondere </w:t>
            </w:r>
          </w:p>
          <w:p w14:paraId="70EFAC07" w14:textId="77777777" w:rsidR="00E24998" w:rsidRDefault="00E24998" w:rsidP="00E3355C">
            <w:pPr>
              <w:keepNext/>
              <w:spacing w:before="0" w:after="0" w:line="210" w:lineRule="atLeast"/>
              <w:jc w:val="center"/>
              <w:rPr>
                <w:rFonts w:eastAsia="Calibri" w:cs="F"/>
                <w:b/>
                <w:color w:val="FFFFFF"/>
                <w:sz w:val="16"/>
              </w:rPr>
            </w:pPr>
            <w:r>
              <w:rPr>
                <w:rFonts w:eastAsia="Calibri" w:cs="F"/>
                <w:b/>
                <w:color w:val="FFFFFF"/>
                <w:sz w:val="16"/>
              </w:rPr>
              <w:t>Dienstleistungen</w:t>
            </w:r>
          </w:p>
          <w:p w14:paraId="35A76DD9" w14:textId="77777777" w:rsidR="00E24998" w:rsidRDefault="00E24998" w:rsidP="00E3355C">
            <w:pPr>
              <w:keepNext/>
              <w:spacing w:before="0" w:after="0" w:line="210" w:lineRule="atLeast"/>
              <w:jc w:val="center"/>
              <w:rPr>
                <w:rFonts w:eastAsia="Calibri" w:cs="F"/>
                <w:b/>
                <w:color w:val="FFFFFF"/>
                <w:sz w:val="20"/>
              </w:rPr>
            </w:pPr>
            <w:r>
              <w:rPr>
                <w:rFonts w:eastAsia="Calibri" w:cs="F"/>
                <w:b/>
                <w:color w:val="FFFFFF"/>
                <w:sz w:val="16"/>
              </w:rPr>
              <w:t>§ 130 Abs. 1 GWB</w:t>
            </w:r>
          </w:p>
        </w:tc>
      </w:tr>
      <w:bookmarkEnd w:id="60"/>
      <w:tr w:rsidR="00E24998" w14:paraId="34A7856B" w14:textId="77777777" w:rsidTr="00E3355C">
        <w:tc>
          <w:tcPr>
            <w:tcW w:w="183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43166F17" w14:textId="77777777" w:rsidR="00E24998" w:rsidRDefault="00E24998" w:rsidP="00E3355C">
            <w:pPr>
              <w:spacing w:before="0" w:after="0" w:line="210" w:lineRule="atLeast"/>
              <w:rPr>
                <w:rFonts w:eastAsia="Calibri" w:cs="F"/>
                <w:sz w:val="16"/>
              </w:rPr>
            </w:pPr>
            <w:r>
              <w:rPr>
                <w:rFonts w:eastAsia="Calibri" w:cs="F"/>
                <w:sz w:val="16"/>
              </w:rPr>
              <w:t>Direktauftrag</w:t>
            </w:r>
          </w:p>
        </w:tc>
        <w:tc>
          <w:tcPr>
            <w:tcW w:w="1664" w:type="dxa"/>
            <w:vMerge w:val="restart"/>
            <w:tcBorders>
              <w:top w:val="single" w:sz="2" w:space="0" w:color="00ACE5"/>
              <w:left w:val="single" w:sz="2" w:space="0" w:color="00ACE5"/>
              <w:right w:val="single" w:sz="2" w:space="0" w:color="00ACE5"/>
            </w:tcBorders>
            <w:tcMar>
              <w:top w:w="57" w:type="dxa"/>
              <w:left w:w="85" w:type="dxa"/>
              <w:bottom w:w="57" w:type="dxa"/>
              <w:right w:w="85" w:type="dxa"/>
            </w:tcMar>
            <w:vAlign w:val="center"/>
          </w:tcPr>
          <w:p w14:paraId="4EB0A6B0" w14:textId="77777777" w:rsidR="00E24998" w:rsidRDefault="00E24998" w:rsidP="00E3355C">
            <w:pPr>
              <w:spacing w:before="0" w:after="0" w:line="210" w:lineRule="atLeast"/>
              <w:rPr>
                <w:rFonts w:eastAsia="Calibri" w:cs="F"/>
                <w:sz w:val="16"/>
              </w:rPr>
            </w:pPr>
            <w:r>
              <w:rPr>
                <w:rFonts w:eastAsia="Calibri" w:cs="F"/>
                <w:sz w:val="16"/>
              </w:rPr>
              <w:t>bis zum EU-Schwellenwert</w:t>
            </w:r>
          </w:p>
        </w:tc>
        <w:tc>
          <w:tcPr>
            <w:tcW w:w="1665" w:type="dxa"/>
            <w:vMerge w:val="restart"/>
            <w:tcBorders>
              <w:top w:val="single" w:sz="2" w:space="0" w:color="00ACE5"/>
              <w:left w:val="single" w:sz="2" w:space="0" w:color="00ACE5"/>
              <w:right w:val="single" w:sz="2" w:space="0" w:color="00ACE5"/>
            </w:tcBorders>
            <w:tcMar>
              <w:top w:w="57" w:type="dxa"/>
              <w:left w:w="85" w:type="dxa"/>
              <w:bottom w:w="57" w:type="dxa"/>
              <w:right w:w="85" w:type="dxa"/>
            </w:tcMar>
            <w:vAlign w:val="center"/>
          </w:tcPr>
          <w:p w14:paraId="69F785E7" w14:textId="77777777" w:rsidR="00E24998" w:rsidRDefault="00E24998" w:rsidP="00E3355C">
            <w:pPr>
              <w:spacing w:before="0" w:after="0" w:line="210" w:lineRule="atLeast"/>
              <w:rPr>
                <w:rFonts w:eastAsia="Calibri" w:cs="F"/>
                <w:sz w:val="16"/>
              </w:rPr>
            </w:pPr>
            <w:r>
              <w:rPr>
                <w:rFonts w:eastAsia="Calibri" w:cs="F"/>
                <w:sz w:val="16"/>
              </w:rPr>
              <w:t>bis zum EU-Schwellenwert</w:t>
            </w:r>
          </w:p>
        </w:tc>
        <w:tc>
          <w:tcPr>
            <w:tcW w:w="1665" w:type="dxa"/>
            <w:vMerge w:val="restart"/>
            <w:tcBorders>
              <w:top w:val="single" w:sz="2" w:space="0" w:color="00ACE5"/>
              <w:left w:val="single" w:sz="2" w:space="0" w:color="00ACE5"/>
              <w:right w:val="single" w:sz="2" w:space="0" w:color="00ACE5"/>
            </w:tcBorders>
            <w:tcMar>
              <w:top w:w="57" w:type="dxa"/>
              <w:left w:w="85" w:type="dxa"/>
              <w:bottom w:w="57" w:type="dxa"/>
              <w:right w:w="85" w:type="dxa"/>
            </w:tcMar>
            <w:vAlign w:val="center"/>
          </w:tcPr>
          <w:p w14:paraId="57D8D232" w14:textId="77777777" w:rsidR="00E24998" w:rsidRDefault="00E24998" w:rsidP="00E3355C">
            <w:pPr>
              <w:spacing w:before="0" w:after="0" w:line="210" w:lineRule="atLeast"/>
              <w:rPr>
                <w:rFonts w:eastAsia="Calibri" w:cs="F"/>
                <w:sz w:val="16"/>
              </w:rPr>
            </w:pPr>
            <w:r>
              <w:rPr>
                <w:rFonts w:eastAsia="Calibri" w:cs="F"/>
                <w:sz w:val="16"/>
              </w:rPr>
              <w:t>bis zum EU-Schwellenwert</w:t>
            </w:r>
          </w:p>
        </w:tc>
        <w:tc>
          <w:tcPr>
            <w:tcW w:w="1665" w:type="dxa"/>
            <w:vMerge w:val="restart"/>
            <w:tcBorders>
              <w:top w:val="single" w:sz="2" w:space="0" w:color="00ACE5"/>
              <w:left w:val="single" w:sz="2" w:space="0" w:color="00ACE5"/>
              <w:right w:val="single" w:sz="2" w:space="0" w:color="00ACE5"/>
            </w:tcBorders>
            <w:tcMar>
              <w:top w:w="57" w:type="dxa"/>
              <w:left w:w="85" w:type="dxa"/>
              <w:bottom w:w="57" w:type="dxa"/>
              <w:right w:w="85" w:type="dxa"/>
            </w:tcMar>
            <w:vAlign w:val="center"/>
          </w:tcPr>
          <w:p w14:paraId="3404BBDB" w14:textId="77777777" w:rsidR="00E24998" w:rsidRDefault="00E24998" w:rsidP="00E3355C">
            <w:pPr>
              <w:spacing w:before="0" w:after="0" w:line="210" w:lineRule="atLeast"/>
              <w:rPr>
                <w:rFonts w:eastAsia="Calibri" w:cs="F"/>
                <w:sz w:val="16"/>
              </w:rPr>
            </w:pPr>
            <w:r>
              <w:rPr>
                <w:rFonts w:eastAsia="Calibri" w:cs="F"/>
                <w:sz w:val="16"/>
              </w:rPr>
              <w:t>bis zum EU-Schwellenwert</w:t>
            </w:r>
          </w:p>
        </w:tc>
      </w:tr>
      <w:tr w:rsidR="00E24998" w14:paraId="54302F4E" w14:textId="77777777" w:rsidTr="00E3355C">
        <w:tc>
          <w:tcPr>
            <w:tcW w:w="183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19B630F1" w14:textId="77777777" w:rsidR="00E24998" w:rsidRDefault="00E24998" w:rsidP="00E3355C">
            <w:pPr>
              <w:spacing w:before="0" w:after="0" w:line="210" w:lineRule="atLeast"/>
              <w:rPr>
                <w:rFonts w:eastAsia="Calibri" w:cs="F"/>
                <w:sz w:val="16"/>
              </w:rPr>
            </w:pPr>
            <w:r>
              <w:rPr>
                <w:rFonts w:eastAsia="Calibri" w:cs="F"/>
                <w:sz w:val="16"/>
              </w:rPr>
              <w:t>Im Einzelfall:</w:t>
            </w:r>
          </w:p>
          <w:p w14:paraId="7D804392" w14:textId="77777777" w:rsidR="00E24998" w:rsidRDefault="00E24998" w:rsidP="00E3355C">
            <w:pPr>
              <w:spacing w:before="0" w:after="0" w:line="210" w:lineRule="atLeast"/>
              <w:rPr>
                <w:rFonts w:eastAsia="Calibri" w:cs="F"/>
                <w:sz w:val="16"/>
              </w:rPr>
            </w:pPr>
            <w:r>
              <w:rPr>
                <w:rFonts w:eastAsia="Calibri" w:cs="F"/>
                <w:sz w:val="16"/>
              </w:rPr>
              <w:t xml:space="preserve">förmliche nationale und EU-Verfahren </w:t>
            </w:r>
          </w:p>
        </w:tc>
        <w:tc>
          <w:tcPr>
            <w:tcW w:w="1664" w:type="dxa"/>
            <w:vMerge/>
            <w:tcBorders>
              <w:left w:val="single" w:sz="2" w:space="0" w:color="00ACE5"/>
              <w:bottom w:val="single" w:sz="2" w:space="0" w:color="00ACE5"/>
              <w:right w:val="single" w:sz="2" w:space="0" w:color="00ACE5"/>
            </w:tcBorders>
            <w:tcMar>
              <w:top w:w="57" w:type="dxa"/>
              <w:left w:w="85" w:type="dxa"/>
              <w:bottom w:w="57" w:type="dxa"/>
              <w:right w:w="85" w:type="dxa"/>
            </w:tcMar>
            <w:vAlign w:val="center"/>
          </w:tcPr>
          <w:p w14:paraId="3CAD36D1" w14:textId="77777777" w:rsidR="00E24998" w:rsidRDefault="00E24998" w:rsidP="00E3355C">
            <w:pPr>
              <w:spacing w:before="0" w:after="0" w:line="210" w:lineRule="atLeast"/>
              <w:rPr>
                <w:rFonts w:eastAsia="Calibri" w:cs="F"/>
                <w:sz w:val="16"/>
              </w:rPr>
            </w:pPr>
          </w:p>
        </w:tc>
        <w:tc>
          <w:tcPr>
            <w:tcW w:w="1665" w:type="dxa"/>
            <w:vMerge/>
            <w:tcBorders>
              <w:left w:val="single" w:sz="2" w:space="0" w:color="00ACE5"/>
              <w:bottom w:val="single" w:sz="2" w:space="0" w:color="00ACE5"/>
              <w:right w:val="single" w:sz="2" w:space="0" w:color="00ACE5"/>
            </w:tcBorders>
            <w:tcMar>
              <w:top w:w="57" w:type="dxa"/>
              <w:left w:w="85" w:type="dxa"/>
              <w:bottom w:w="57" w:type="dxa"/>
              <w:right w:w="85" w:type="dxa"/>
            </w:tcMar>
            <w:vAlign w:val="center"/>
          </w:tcPr>
          <w:p w14:paraId="5C1CD6A7" w14:textId="77777777" w:rsidR="00E24998" w:rsidRDefault="00E24998" w:rsidP="00E3355C">
            <w:pPr>
              <w:spacing w:before="0" w:after="0" w:line="210" w:lineRule="atLeast"/>
              <w:rPr>
                <w:rFonts w:eastAsia="Calibri" w:cs="F"/>
                <w:sz w:val="16"/>
              </w:rPr>
            </w:pPr>
          </w:p>
        </w:tc>
        <w:tc>
          <w:tcPr>
            <w:tcW w:w="1665" w:type="dxa"/>
            <w:vMerge/>
            <w:tcBorders>
              <w:left w:val="single" w:sz="2" w:space="0" w:color="00ACE5"/>
              <w:bottom w:val="single" w:sz="2" w:space="0" w:color="00ACE5"/>
              <w:right w:val="single" w:sz="2" w:space="0" w:color="00ACE5"/>
            </w:tcBorders>
            <w:tcMar>
              <w:top w:w="57" w:type="dxa"/>
              <w:left w:w="85" w:type="dxa"/>
              <w:bottom w:w="57" w:type="dxa"/>
              <w:right w:w="85" w:type="dxa"/>
            </w:tcMar>
            <w:vAlign w:val="center"/>
          </w:tcPr>
          <w:p w14:paraId="59639FA1" w14:textId="77777777" w:rsidR="00E24998" w:rsidRDefault="00E24998" w:rsidP="00E3355C">
            <w:pPr>
              <w:spacing w:before="0" w:after="0" w:line="210" w:lineRule="atLeast"/>
              <w:rPr>
                <w:rFonts w:eastAsia="Calibri" w:cs="F"/>
                <w:sz w:val="16"/>
              </w:rPr>
            </w:pPr>
          </w:p>
        </w:tc>
        <w:tc>
          <w:tcPr>
            <w:tcW w:w="1665" w:type="dxa"/>
            <w:vMerge/>
            <w:tcBorders>
              <w:left w:val="single" w:sz="2" w:space="0" w:color="00ACE5"/>
              <w:bottom w:val="single" w:sz="2" w:space="0" w:color="00ACE5"/>
              <w:right w:val="single" w:sz="2" w:space="0" w:color="00ACE5"/>
            </w:tcBorders>
            <w:tcMar>
              <w:top w:w="57" w:type="dxa"/>
              <w:left w:w="85" w:type="dxa"/>
              <w:bottom w:w="57" w:type="dxa"/>
              <w:right w:w="85" w:type="dxa"/>
            </w:tcMar>
            <w:vAlign w:val="center"/>
          </w:tcPr>
          <w:p w14:paraId="5DEFD0F5" w14:textId="77777777" w:rsidR="00E24998" w:rsidRDefault="00E24998" w:rsidP="00E3355C">
            <w:pPr>
              <w:spacing w:before="0" w:after="0" w:line="210" w:lineRule="atLeast"/>
              <w:rPr>
                <w:rFonts w:eastAsia="Calibri" w:cs="F"/>
                <w:sz w:val="16"/>
              </w:rPr>
            </w:pPr>
          </w:p>
        </w:tc>
      </w:tr>
      <w:tr w:rsidR="00E24998" w14:paraId="7A129B39" w14:textId="77777777" w:rsidTr="00E3355C">
        <w:tc>
          <w:tcPr>
            <w:tcW w:w="1839"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793972E" w14:textId="77777777" w:rsidR="00E24998" w:rsidRDefault="00E24998" w:rsidP="00E3355C">
            <w:pPr>
              <w:keepNext/>
              <w:spacing w:before="0" w:after="0" w:line="210" w:lineRule="atLeast"/>
              <w:rPr>
                <w:rFonts w:eastAsia="Calibri" w:cs="F"/>
                <w:sz w:val="16"/>
              </w:rPr>
            </w:pPr>
            <w:r>
              <w:rPr>
                <w:rFonts w:eastAsia="Calibri" w:cs="F"/>
                <w:sz w:val="16"/>
              </w:rPr>
              <w:t>EU-Verfahren</w:t>
            </w:r>
            <w:r>
              <w:rPr>
                <w:rStyle w:val="Funotenzeichen"/>
                <w:rFonts w:eastAsia="Calibri" w:cs="F"/>
                <w:sz w:val="16"/>
              </w:rPr>
              <w:footnoteReference w:id="9"/>
            </w:r>
          </w:p>
        </w:tc>
        <w:tc>
          <w:tcPr>
            <w:tcW w:w="1664"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541BA35D" w14:textId="77777777" w:rsidR="00E24998" w:rsidRDefault="00E24998" w:rsidP="00E3355C">
            <w:pPr>
              <w:keepNext/>
              <w:spacing w:before="0" w:after="0" w:line="210" w:lineRule="atLeast"/>
              <w:rPr>
                <w:rFonts w:eastAsia="Calibri" w:cs="F"/>
                <w:sz w:val="16"/>
              </w:rPr>
            </w:pPr>
            <w:r>
              <w:rPr>
                <w:rFonts w:eastAsia="Calibri" w:cs="F"/>
                <w:sz w:val="16"/>
              </w:rPr>
              <w:t>ab dem EU-Schwellenwert von 5.404.000 (gilt auch für Bau- und Dienstleistungskonzessionen)</w:t>
            </w:r>
          </w:p>
        </w:tc>
        <w:tc>
          <w:tcPr>
            <w:tcW w:w="1665"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435716F4" w14:textId="77777777" w:rsidR="00E24998" w:rsidRDefault="00E24998" w:rsidP="00E3355C">
            <w:pPr>
              <w:keepNext/>
              <w:spacing w:before="0" w:after="0" w:line="210" w:lineRule="atLeast"/>
              <w:rPr>
                <w:rFonts w:eastAsia="Calibri" w:cs="F"/>
                <w:sz w:val="16"/>
              </w:rPr>
            </w:pPr>
            <w:r>
              <w:rPr>
                <w:rFonts w:eastAsia="Calibri" w:cs="F"/>
                <w:sz w:val="16"/>
              </w:rPr>
              <w:t>ab dem EU-Schwellenwert von 216.000</w:t>
            </w:r>
          </w:p>
        </w:tc>
        <w:tc>
          <w:tcPr>
            <w:tcW w:w="1665"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7F186541" w14:textId="77777777" w:rsidR="00E24998" w:rsidRDefault="00E24998" w:rsidP="00E3355C">
            <w:pPr>
              <w:keepNext/>
              <w:spacing w:before="0" w:after="0" w:line="210" w:lineRule="atLeast"/>
              <w:rPr>
                <w:rFonts w:eastAsia="Calibri" w:cs="F"/>
                <w:sz w:val="16"/>
              </w:rPr>
            </w:pPr>
            <w:r>
              <w:rPr>
                <w:rFonts w:eastAsia="Calibri" w:cs="F"/>
                <w:sz w:val="16"/>
              </w:rPr>
              <w:t>ab dem EU-Schwellenwert von 216.000</w:t>
            </w:r>
          </w:p>
        </w:tc>
        <w:tc>
          <w:tcPr>
            <w:tcW w:w="1665" w:type="dxa"/>
            <w:tcBorders>
              <w:top w:val="single" w:sz="2" w:space="0" w:color="00ACE5"/>
              <w:left w:val="single" w:sz="2" w:space="0" w:color="00ACE5"/>
              <w:bottom w:val="single" w:sz="2" w:space="0" w:color="00ACE5"/>
              <w:right w:val="single" w:sz="2" w:space="0" w:color="00ACE5"/>
            </w:tcBorders>
            <w:tcMar>
              <w:top w:w="57" w:type="dxa"/>
              <w:left w:w="85" w:type="dxa"/>
              <w:bottom w:w="57" w:type="dxa"/>
              <w:right w:w="85" w:type="dxa"/>
            </w:tcMar>
            <w:vAlign w:val="center"/>
          </w:tcPr>
          <w:p w14:paraId="65F16DEA" w14:textId="77777777" w:rsidR="00E24998" w:rsidRDefault="00E24998" w:rsidP="00E3355C">
            <w:pPr>
              <w:keepNext/>
              <w:spacing w:before="0" w:after="0" w:line="210" w:lineRule="atLeast"/>
              <w:rPr>
                <w:rFonts w:eastAsia="Calibri" w:cs="F"/>
                <w:sz w:val="16"/>
              </w:rPr>
            </w:pPr>
            <w:r>
              <w:rPr>
                <w:rFonts w:eastAsia="Calibri" w:cs="F"/>
                <w:sz w:val="16"/>
              </w:rPr>
              <w:t>ab dem EU-Schwellenwert von 750.000</w:t>
            </w:r>
          </w:p>
        </w:tc>
      </w:tr>
    </w:tbl>
    <w:p w14:paraId="073FA412" w14:textId="2BD51B11" w:rsidR="00E24998" w:rsidRDefault="00E24998" w:rsidP="00E24998">
      <w:pPr>
        <w:pStyle w:val="Flietext"/>
      </w:pPr>
    </w:p>
    <w:p w14:paraId="148BCA10" w14:textId="77777777" w:rsidR="001255A8" w:rsidRDefault="00E24998">
      <w:pPr>
        <w:spacing w:before="0" w:line="276" w:lineRule="auto"/>
      </w:pPr>
      <w:r>
        <w:br w:type="page"/>
      </w:r>
    </w:p>
    <w:bookmarkStart w:id="61" w:name="Anlage_3"/>
    <w:p w14:paraId="489CA8D8" w14:textId="3E028137" w:rsidR="001255A8" w:rsidRDefault="004F28B9" w:rsidP="00254CE7">
      <w:pPr>
        <w:pStyle w:val="berschrift2"/>
        <w:numPr>
          <w:ilvl w:val="0"/>
          <w:numId w:val="0"/>
        </w:numPr>
        <w:ind w:left="1134" w:hanging="1134"/>
      </w:pPr>
      <w:r>
        <w:fldChar w:fldCharType="begin"/>
      </w:r>
      <w:r>
        <w:instrText>HYPERLINK  \l "Anlage_3_S"</w:instrText>
      </w:r>
      <w:r>
        <w:fldChar w:fldCharType="separate"/>
      </w:r>
      <w:bookmarkStart w:id="62" w:name="_Toc215054299"/>
      <w:r w:rsidR="004C0FEA" w:rsidRPr="004F28B9">
        <w:rPr>
          <w:rStyle w:val="Hyperlink"/>
        </w:rPr>
        <w:t>Anlage 3: Prozess</w:t>
      </w:r>
      <w:r w:rsidR="00254CE7" w:rsidRPr="004F28B9">
        <w:rPr>
          <w:rStyle w:val="Hyperlink"/>
        </w:rPr>
        <w:t>ablaufdarstellungen</w:t>
      </w:r>
      <w:bookmarkEnd w:id="62"/>
      <w:r>
        <w:fldChar w:fldCharType="end"/>
      </w:r>
    </w:p>
    <w:bookmarkEnd w:id="61"/>
    <w:p w14:paraId="66FCDC59" w14:textId="16BA2BAE" w:rsidR="00882B4E" w:rsidRDefault="00735A20" w:rsidP="00882B4E">
      <w:pPr>
        <w:pStyle w:val="Flietext"/>
        <w:numPr>
          <w:ilvl w:val="0"/>
          <w:numId w:val="46"/>
        </w:numPr>
        <w:rPr>
          <w:color w:val="00B0F0"/>
          <w:sz w:val="26"/>
          <w:szCs w:val="26"/>
        </w:rPr>
      </w:pPr>
      <w:r w:rsidRPr="00735A20">
        <w:rPr>
          <w:color w:val="00B0F0"/>
          <w:sz w:val="26"/>
          <w:szCs w:val="26"/>
        </w:rPr>
        <w:t>Prozessbeschreibung für eine Vergabe im Unterschwellenbereich</w:t>
      </w:r>
    </w:p>
    <w:p w14:paraId="1BB95E03" w14:textId="31586332" w:rsidR="00882B4E" w:rsidRPr="00882B4E" w:rsidRDefault="00882B4E" w:rsidP="00E50530">
      <w:pPr>
        <w:pStyle w:val="Flietext"/>
        <w:ind w:hanging="709"/>
        <w:rPr>
          <w:color w:val="00B0F0"/>
          <w:sz w:val="26"/>
          <w:szCs w:val="26"/>
        </w:rPr>
      </w:pPr>
      <w:r w:rsidRPr="00735A20">
        <w:rPr>
          <w:noProof/>
        </w:rPr>
        <w:drawing>
          <wp:inline distT="0" distB="0" distL="0" distR="0" wp14:anchorId="26E2414B" wp14:editId="44D06851">
            <wp:extent cx="5075584" cy="7117690"/>
            <wp:effectExtent l="0" t="0" r="0" b="762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6476"/>
                    <a:stretch/>
                  </pic:blipFill>
                  <pic:spPr bwMode="auto">
                    <a:xfrm>
                      <a:off x="0" y="0"/>
                      <a:ext cx="5143781" cy="7213325"/>
                    </a:xfrm>
                    <a:prstGeom prst="rect">
                      <a:avLst/>
                    </a:prstGeom>
                    <a:ln>
                      <a:noFill/>
                    </a:ln>
                    <a:extLst>
                      <a:ext uri="{53640926-AAD7-44D8-BBD7-CCE9431645EC}">
                        <a14:shadowObscured xmlns:a14="http://schemas.microsoft.com/office/drawing/2010/main"/>
                      </a:ext>
                    </a:extLst>
                  </pic:spPr>
                </pic:pic>
              </a:graphicData>
            </a:graphic>
          </wp:inline>
        </w:drawing>
      </w:r>
    </w:p>
    <w:p w14:paraId="07AAFD4B" w14:textId="5142F52B" w:rsidR="00735A20" w:rsidRDefault="000946FC" w:rsidP="00E50530">
      <w:pPr>
        <w:pStyle w:val="Flietext"/>
        <w:ind w:left="-284" w:hanging="283"/>
      </w:pPr>
      <w:r w:rsidRPr="000946FC">
        <w:rPr>
          <w:noProof/>
          <w:highlight w:val="yellow"/>
        </w:rPr>
        <w:drawing>
          <wp:anchor distT="0" distB="0" distL="114300" distR="114300" simplePos="0" relativeHeight="251658240" behindDoc="0" locked="0" layoutInCell="1" allowOverlap="1" wp14:anchorId="4B2A597D" wp14:editId="13C9E3AF">
            <wp:simplePos x="0" y="0"/>
            <wp:positionH relativeFrom="column">
              <wp:posOffset>-354330</wp:posOffset>
            </wp:positionH>
            <wp:positionV relativeFrom="paragraph">
              <wp:posOffset>2436021</wp:posOffset>
            </wp:positionV>
            <wp:extent cx="6454775" cy="4431030"/>
            <wp:effectExtent l="0" t="0" r="3175" b="762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54775" cy="4431030"/>
                    </a:xfrm>
                    <a:prstGeom prst="rect">
                      <a:avLst/>
                    </a:prstGeom>
                  </pic:spPr>
                </pic:pic>
              </a:graphicData>
            </a:graphic>
          </wp:anchor>
        </w:drawing>
      </w:r>
      <w:r w:rsidRPr="00735A20">
        <w:rPr>
          <w:noProof/>
        </w:rPr>
        <w:drawing>
          <wp:inline distT="0" distB="0" distL="0" distR="0" wp14:anchorId="16775D79" wp14:editId="37347AB9">
            <wp:extent cx="4900493" cy="2624963"/>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2424" b="-509"/>
                    <a:stretch/>
                  </pic:blipFill>
                  <pic:spPr bwMode="auto">
                    <a:xfrm>
                      <a:off x="0" y="0"/>
                      <a:ext cx="4945279" cy="2648953"/>
                    </a:xfrm>
                    <a:prstGeom prst="rect">
                      <a:avLst/>
                    </a:prstGeom>
                    <a:ln>
                      <a:noFill/>
                    </a:ln>
                    <a:extLst>
                      <a:ext uri="{53640926-AAD7-44D8-BBD7-CCE9431645EC}">
                        <a14:shadowObscured xmlns:a14="http://schemas.microsoft.com/office/drawing/2010/main"/>
                      </a:ext>
                    </a:extLst>
                  </pic:spPr>
                </pic:pic>
              </a:graphicData>
            </a:graphic>
          </wp:inline>
        </w:drawing>
      </w:r>
    </w:p>
    <w:p w14:paraId="70E583C1" w14:textId="3805CAD4" w:rsidR="00735A20" w:rsidRDefault="00735A20" w:rsidP="00EF08E4">
      <w:pPr>
        <w:pStyle w:val="Flietext"/>
      </w:pPr>
    </w:p>
    <w:p w14:paraId="032D0449" w14:textId="77777777" w:rsidR="00735A20" w:rsidRDefault="00735A20" w:rsidP="001255A8">
      <w:pPr>
        <w:pStyle w:val="Flietext"/>
      </w:pPr>
    </w:p>
    <w:p w14:paraId="0630D820" w14:textId="77777777" w:rsidR="00735A20" w:rsidRDefault="00735A20" w:rsidP="001255A8">
      <w:pPr>
        <w:pStyle w:val="Flietext"/>
      </w:pPr>
    </w:p>
    <w:p w14:paraId="1A76D062" w14:textId="5B24F7DF" w:rsidR="00735A20" w:rsidRDefault="00735A20">
      <w:pPr>
        <w:spacing w:before="0" w:line="276" w:lineRule="auto"/>
        <w:rPr>
          <w:sz w:val="20"/>
        </w:rPr>
      </w:pPr>
      <w:r>
        <w:br w:type="page"/>
      </w:r>
    </w:p>
    <w:p w14:paraId="06918C89" w14:textId="0A5CA868" w:rsidR="00735A20" w:rsidRDefault="00735A20" w:rsidP="00735A20">
      <w:pPr>
        <w:pStyle w:val="Flietext"/>
        <w:numPr>
          <w:ilvl w:val="0"/>
          <w:numId w:val="46"/>
        </w:numPr>
        <w:rPr>
          <w:color w:val="00B0F0"/>
          <w:sz w:val="26"/>
          <w:szCs w:val="26"/>
        </w:rPr>
      </w:pPr>
      <w:r w:rsidRPr="00735A20">
        <w:rPr>
          <w:color w:val="00B0F0"/>
          <w:sz w:val="26"/>
          <w:szCs w:val="26"/>
        </w:rPr>
        <w:t>Prozessbeschreibung für eine Vergabe im Oberschwellenbereich</w:t>
      </w:r>
    </w:p>
    <w:p w14:paraId="54A31891" w14:textId="34389A18" w:rsidR="00EF08E4" w:rsidRDefault="00EF08E4" w:rsidP="00735A20">
      <w:pPr>
        <w:pStyle w:val="Flietext"/>
      </w:pPr>
      <w:r w:rsidRPr="00EF08E4">
        <w:rPr>
          <w:noProof/>
        </w:rPr>
        <w:drawing>
          <wp:inline distT="0" distB="0" distL="0" distR="0" wp14:anchorId="7A7C4F20" wp14:editId="33588F68">
            <wp:extent cx="3634489" cy="7934325"/>
            <wp:effectExtent l="0" t="0" r="444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56973" cy="7983410"/>
                    </a:xfrm>
                    <a:prstGeom prst="rect">
                      <a:avLst/>
                    </a:prstGeom>
                  </pic:spPr>
                </pic:pic>
              </a:graphicData>
            </a:graphic>
          </wp:inline>
        </w:drawing>
      </w:r>
    </w:p>
    <w:p w14:paraId="5F961CCB" w14:textId="2F4341BE" w:rsidR="00EF08E4" w:rsidRDefault="00EF08E4" w:rsidP="00735A20">
      <w:pPr>
        <w:pStyle w:val="Flietext"/>
      </w:pPr>
      <w:r w:rsidRPr="00EF08E4">
        <w:rPr>
          <w:noProof/>
        </w:rPr>
        <w:drawing>
          <wp:inline distT="0" distB="0" distL="0" distR="0" wp14:anchorId="423DD1BE" wp14:editId="59F4DAC9">
            <wp:extent cx="5400040" cy="8244205"/>
            <wp:effectExtent l="0" t="0" r="0" b="444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8244205"/>
                    </a:xfrm>
                    <a:prstGeom prst="rect">
                      <a:avLst/>
                    </a:prstGeom>
                  </pic:spPr>
                </pic:pic>
              </a:graphicData>
            </a:graphic>
          </wp:inline>
        </w:drawing>
      </w:r>
    </w:p>
    <w:p w14:paraId="2BB8011C" w14:textId="06A3188A" w:rsidR="00EF08E4" w:rsidRDefault="00EF08E4" w:rsidP="00735A20">
      <w:pPr>
        <w:pStyle w:val="Flietext"/>
      </w:pPr>
      <w:r w:rsidRPr="00EF08E4">
        <w:rPr>
          <w:noProof/>
        </w:rPr>
        <w:drawing>
          <wp:inline distT="0" distB="0" distL="0" distR="0" wp14:anchorId="39F12D2A" wp14:editId="380FB169">
            <wp:extent cx="5123580" cy="3401060"/>
            <wp:effectExtent l="0" t="0" r="1270" b="889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31235" cy="3406141"/>
                    </a:xfrm>
                    <a:prstGeom prst="rect">
                      <a:avLst/>
                    </a:prstGeom>
                  </pic:spPr>
                </pic:pic>
              </a:graphicData>
            </a:graphic>
          </wp:inline>
        </w:drawing>
      </w:r>
    </w:p>
    <w:p w14:paraId="6347E93E" w14:textId="77777777" w:rsidR="00EF08E4" w:rsidRPr="00735A20" w:rsidRDefault="00EF08E4" w:rsidP="00735A20">
      <w:pPr>
        <w:pStyle w:val="Flietext"/>
      </w:pPr>
    </w:p>
    <w:p w14:paraId="36F8AA84" w14:textId="77777777" w:rsidR="00735A20" w:rsidRPr="00735A20" w:rsidRDefault="00735A20" w:rsidP="00735A20">
      <w:pPr>
        <w:pStyle w:val="Flietext"/>
      </w:pPr>
    </w:p>
    <w:p w14:paraId="297C3577" w14:textId="68836A24" w:rsidR="001255A8" w:rsidRDefault="001255A8">
      <w:pPr>
        <w:spacing w:before="0" w:line="276" w:lineRule="auto"/>
      </w:pPr>
      <w:r>
        <w:br w:type="page"/>
      </w:r>
    </w:p>
    <w:p w14:paraId="3914381F" w14:textId="0BCC4E43" w:rsidR="00611F98" w:rsidRPr="00611F98" w:rsidRDefault="00611F98" w:rsidP="00EC401C">
      <w:pPr>
        <w:pStyle w:val="berschrift2"/>
        <w:numPr>
          <w:ilvl w:val="0"/>
          <w:numId w:val="0"/>
        </w:numPr>
        <w:rPr>
          <w:b/>
        </w:rPr>
      </w:pPr>
      <w:bookmarkStart w:id="63" w:name="_Anlage_4:_Verweise"/>
      <w:bookmarkStart w:id="64" w:name="_Toc215054300"/>
      <w:bookmarkEnd w:id="63"/>
      <w:r w:rsidRPr="00611F98">
        <w:t xml:space="preserve">Anlage 4: Verweise zur FAQ-Liste </w:t>
      </w:r>
      <w:r w:rsidR="008928FA">
        <w:t>„K</w:t>
      </w:r>
      <w:r w:rsidRPr="00611F98">
        <w:t>ommunale Vergaben im Land Nordrhein-Westfalen</w:t>
      </w:r>
      <w:r w:rsidR="008928FA">
        <w:t>“</w:t>
      </w:r>
      <w:r w:rsidRPr="00611F98">
        <w:t xml:space="preserve"> ab dem 01.01.2026 des MHKBD</w:t>
      </w:r>
      <w:r w:rsidR="00A63524">
        <w:t xml:space="preserve"> (Stand 08. Oktober, Version 1.0)</w:t>
      </w:r>
      <w:bookmarkEnd w:id="64"/>
    </w:p>
    <w:tbl>
      <w:tblPr>
        <w:tblStyle w:val="Tabelle"/>
        <w:tblW w:w="5000" w:type="pct"/>
        <w:tblInd w:w="-3" w:type="dxa"/>
        <w:tblLook w:val="04A0" w:firstRow="1" w:lastRow="0" w:firstColumn="1" w:lastColumn="0" w:noHBand="0" w:noVBand="1"/>
      </w:tblPr>
      <w:tblGrid>
        <w:gridCol w:w="2891"/>
        <w:gridCol w:w="2804"/>
        <w:gridCol w:w="2803"/>
      </w:tblGrid>
      <w:tr w:rsidR="00D147A9" w:rsidRPr="001255A8" w14:paraId="4FDB4846" w14:textId="77777777" w:rsidTr="00D53B7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701" w:type="pct"/>
          </w:tcPr>
          <w:p w14:paraId="2988426E" w14:textId="77777777" w:rsidR="00611F98" w:rsidRPr="00611F98" w:rsidRDefault="00611F98" w:rsidP="00611F98">
            <w:pPr>
              <w:spacing w:before="0" w:line="210" w:lineRule="atLeast"/>
              <w:jc w:val="center"/>
              <w:rPr>
                <w:rFonts w:eastAsia="Calibri" w:cs="F"/>
                <w:b w:val="0"/>
                <w:color w:val="FFFFFF"/>
                <w:sz w:val="16"/>
              </w:rPr>
            </w:pPr>
            <w:r w:rsidRPr="00611F98">
              <w:rPr>
                <w:rFonts w:eastAsia="Calibri" w:cs="F"/>
                <w:b w:val="0"/>
                <w:color w:val="FFFFFF"/>
                <w:sz w:val="16"/>
              </w:rPr>
              <w:t>Verweis von Seite</w:t>
            </w:r>
          </w:p>
        </w:tc>
        <w:tc>
          <w:tcPr>
            <w:tcW w:w="1650" w:type="pct"/>
          </w:tcPr>
          <w:p w14:paraId="6B692D55" w14:textId="77777777" w:rsidR="00611F98" w:rsidRPr="00611F98" w:rsidRDefault="00611F98" w:rsidP="00611F98">
            <w:pPr>
              <w:spacing w:before="0" w:line="210" w:lineRule="atLeast"/>
              <w:cnfStyle w:val="100000000000" w:firstRow="1" w:lastRow="0" w:firstColumn="0" w:lastColumn="0" w:oddVBand="0" w:evenVBand="0" w:oddHBand="0" w:evenHBand="0" w:firstRowFirstColumn="0" w:firstRowLastColumn="0" w:lastRowFirstColumn="0" w:lastRowLastColumn="0"/>
              <w:rPr>
                <w:rFonts w:eastAsia="Calibri" w:cs="F"/>
                <w:b w:val="0"/>
                <w:color w:val="FFFFFF"/>
                <w:sz w:val="16"/>
              </w:rPr>
            </w:pPr>
            <w:r w:rsidRPr="00611F98">
              <w:rPr>
                <w:rFonts w:eastAsia="Calibri" w:cs="F"/>
                <w:b w:val="0"/>
                <w:color w:val="FFFFFF"/>
                <w:sz w:val="16"/>
              </w:rPr>
              <w:t>Ziffer der FAQ-Liste</w:t>
            </w:r>
          </w:p>
        </w:tc>
        <w:tc>
          <w:tcPr>
            <w:tcW w:w="1649" w:type="pct"/>
          </w:tcPr>
          <w:p w14:paraId="3CFCF8A3" w14:textId="77777777" w:rsidR="00611F98" w:rsidRPr="00611F98" w:rsidRDefault="00611F98" w:rsidP="00611F98">
            <w:pPr>
              <w:spacing w:before="0" w:line="210" w:lineRule="atLeast"/>
              <w:cnfStyle w:val="100000000000" w:firstRow="1" w:lastRow="0" w:firstColumn="0" w:lastColumn="0" w:oddVBand="0" w:evenVBand="0" w:oddHBand="0" w:evenHBand="0" w:firstRowFirstColumn="0" w:firstRowLastColumn="0" w:lastRowFirstColumn="0" w:lastRowLastColumn="0"/>
              <w:rPr>
                <w:rFonts w:eastAsia="Calibri" w:cs="F"/>
                <w:b w:val="0"/>
                <w:color w:val="FFFFFF"/>
                <w:sz w:val="16"/>
              </w:rPr>
            </w:pPr>
            <w:r w:rsidRPr="00611F98">
              <w:rPr>
                <w:rFonts w:eastAsia="Calibri" w:cs="F"/>
                <w:b w:val="0"/>
                <w:color w:val="FFFFFF"/>
                <w:sz w:val="16"/>
              </w:rPr>
              <w:t>Seite der FAQ-Liste</w:t>
            </w:r>
          </w:p>
        </w:tc>
      </w:tr>
      <w:tr w:rsidR="00611F98" w:rsidRPr="001255A8" w14:paraId="2C82BB35" w14:textId="77777777" w:rsidTr="00D53B75">
        <w:trPr>
          <w:cantSplit/>
          <w:trHeight w:val="284"/>
        </w:trPr>
        <w:tc>
          <w:tcPr>
            <w:cnfStyle w:val="001000000000" w:firstRow="0" w:lastRow="0" w:firstColumn="1" w:lastColumn="0" w:oddVBand="0" w:evenVBand="0" w:oddHBand="0" w:evenHBand="0" w:firstRowFirstColumn="0" w:firstRowLastColumn="0" w:lastRowFirstColumn="0" w:lastRowLastColumn="0"/>
            <w:tcW w:w="1701" w:type="pct"/>
          </w:tcPr>
          <w:p w14:paraId="22F1FDB4" w14:textId="5A6687D7" w:rsidR="00611F98" w:rsidRPr="001255A8" w:rsidRDefault="00611F98" w:rsidP="0085750F">
            <w:pPr>
              <w:keepNext/>
              <w:autoSpaceDN w:val="0"/>
              <w:spacing w:before="0" w:line="210" w:lineRule="atLeast"/>
              <w:textAlignment w:val="baseline"/>
              <w:rPr>
                <w:rFonts w:eastAsia="Calibri" w:cs="Arial"/>
                <w:b/>
                <w:color w:val="FFFFFF"/>
                <w:szCs w:val="16"/>
              </w:rPr>
            </w:pPr>
            <w:r w:rsidRPr="001255A8">
              <w:rPr>
                <w:rFonts w:eastAsia="Arial" w:cs="Arial"/>
                <w:szCs w:val="16"/>
              </w:rPr>
              <w:t xml:space="preserve">Seite </w:t>
            </w:r>
            <w:bookmarkStart w:id="65" w:name="Regel80_20_FAQ"/>
            <w:bookmarkEnd w:id="65"/>
            <w:r>
              <w:rPr>
                <w:rFonts w:eastAsia="Arial" w:cs="Arial"/>
                <w:szCs w:val="16"/>
              </w:rPr>
              <w:fldChar w:fldCharType="begin"/>
            </w:r>
            <w:r>
              <w:rPr>
                <w:rFonts w:eastAsia="Arial" w:cs="Arial"/>
                <w:szCs w:val="16"/>
              </w:rPr>
              <w:instrText xml:space="preserve"> PAGEREF  Regel80_20_S \h </w:instrText>
            </w:r>
            <w:r>
              <w:rPr>
                <w:rFonts w:eastAsia="Arial" w:cs="Arial"/>
                <w:szCs w:val="16"/>
              </w:rPr>
            </w:r>
            <w:r>
              <w:rPr>
                <w:rFonts w:eastAsia="Arial" w:cs="Arial"/>
                <w:szCs w:val="16"/>
              </w:rPr>
              <w:fldChar w:fldCharType="separate"/>
            </w:r>
            <w:r w:rsidR="00B72972">
              <w:rPr>
                <w:rFonts w:eastAsia="Arial" w:cs="Arial"/>
                <w:noProof/>
                <w:szCs w:val="16"/>
              </w:rPr>
              <w:t>8</w:t>
            </w:r>
            <w:r>
              <w:rPr>
                <w:rFonts w:eastAsia="Arial" w:cs="Arial"/>
                <w:szCs w:val="16"/>
              </w:rPr>
              <w:fldChar w:fldCharType="end"/>
            </w:r>
            <w:r w:rsidRPr="001255A8">
              <w:rPr>
                <w:rFonts w:eastAsia="Arial" w:cs="Arial"/>
                <w:szCs w:val="16"/>
              </w:rPr>
              <w:t xml:space="preserve"> </w:t>
            </w:r>
          </w:p>
        </w:tc>
        <w:tc>
          <w:tcPr>
            <w:tcW w:w="1650" w:type="pct"/>
          </w:tcPr>
          <w:p w14:paraId="389EA9B9" w14:textId="77777777" w:rsidR="00611F98" w:rsidRPr="001255A8" w:rsidRDefault="00611F98" w:rsidP="0085750F">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Calibri" w:cs="Arial"/>
                <w:b/>
                <w:color w:val="FFFFFF"/>
                <w:szCs w:val="16"/>
              </w:rPr>
            </w:pPr>
            <w:r w:rsidRPr="001255A8">
              <w:rPr>
                <w:rFonts w:eastAsia="Arial" w:cs="Arial"/>
                <w:szCs w:val="16"/>
              </w:rPr>
              <w:t>8.2</w:t>
            </w:r>
          </w:p>
        </w:tc>
        <w:tc>
          <w:tcPr>
            <w:tcW w:w="1649" w:type="pct"/>
          </w:tcPr>
          <w:p w14:paraId="39E1F50D" w14:textId="77777777" w:rsidR="00611F98" w:rsidRPr="001255A8" w:rsidRDefault="00611F98" w:rsidP="0085750F">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Calibri" w:cs="Arial"/>
                <w:b/>
                <w:color w:val="FFFFFF"/>
                <w:szCs w:val="16"/>
              </w:rPr>
            </w:pPr>
            <w:r w:rsidRPr="001255A8">
              <w:rPr>
                <w:rFonts w:eastAsia="Arial" w:cs="Arial"/>
                <w:szCs w:val="16"/>
              </w:rPr>
              <w:t>Seite 10</w:t>
            </w:r>
          </w:p>
        </w:tc>
      </w:tr>
      <w:tr w:rsidR="00611F98" w:rsidRPr="001255A8" w14:paraId="0B105BF1" w14:textId="77777777" w:rsidTr="00D53B75">
        <w:trPr>
          <w:cantSplit/>
          <w:trHeight w:val="317"/>
        </w:trPr>
        <w:tc>
          <w:tcPr>
            <w:cnfStyle w:val="001000000000" w:firstRow="0" w:lastRow="0" w:firstColumn="1" w:lastColumn="0" w:oddVBand="0" w:evenVBand="0" w:oddHBand="0" w:evenHBand="0" w:firstRowFirstColumn="0" w:firstRowLastColumn="0" w:lastRowFirstColumn="0" w:lastRowLastColumn="0"/>
            <w:tcW w:w="1701" w:type="pct"/>
          </w:tcPr>
          <w:p w14:paraId="7EB2525B" w14:textId="109D3D73" w:rsidR="00611F98" w:rsidRPr="001255A8" w:rsidRDefault="00611F98" w:rsidP="0085750F">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Satzungserfordernis_S \h </w:instrText>
            </w:r>
            <w:r>
              <w:rPr>
                <w:rFonts w:eastAsia="Arial" w:cs="Arial"/>
                <w:szCs w:val="16"/>
              </w:rPr>
            </w:r>
            <w:r>
              <w:rPr>
                <w:rFonts w:eastAsia="Arial" w:cs="Arial"/>
                <w:szCs w:val="16"/>
              </w:rPr>
              <w:fldChar w:fldCharType="separate"/>
            </w:r>
            <w:r w:rsidR="00B72972">
              <w:rPr>
                <w:rFonts w:eastAsia="Arial" w:cs="Arial"/>
                <w:noProof/>
                <w:szCs w:val="16"/>
              </w:rPr>
              <w:t>10</w:t>
            </w:r>
            <w:r>
              <w:rPr>
                <w:rFonts w:eastAsia="Arial" w:cs="Arial"/>
                <w:szCs w:val="16"/>
              </w:rPr>
              <w:fldChar w:fldCharType="end"/>
            </w:r>
          </w:p>
        </w:tc>
        <w:tc>
          <w:tcPr>
            <w:tcW w:w="1650" w:type="pct"/>
          </w:tcPr>
          <w:p w14:paraId="1A0E6087" w14:textId="77777777" w:rsidR="00611F98" w:rsidRPr="001255A8" w:rsidRDefault="00611F98" w:rsidP="0085750F">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p>
        </w:tc>
        <w:tc>
          <w:tcPr>
            <w:tcW w:w="1649" w:type="pct"/>
          </w:tcPr>
          <w:p w14:paraId="3499CB13" w14:textId="77777777" w:rsidR="00611F98" w:rsidRPr="001255A8" w:rsidRDefault="00611F98" w:rsidP="0085750F">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20 (mittig)</w:t>
            </w:r>
          </w:p>
        </w:tc>
      </w:tr>
      <w:tr w:rsidR="00611F98" w:rsidRPr="001255A8" w14:paraId="33F816DB" w14:textId="77777777" w:rsidTr="00D53B75">
        <w:trPr>
          <w:cantSplit/>
          <w:trHeight w:val="579"/>
        </w:trPr>
        <w:tc>
          <w:tcPr>
            <w:cnfStyle w:val="001000000000" w:firstRow="0" w:lastRow="0" w:firstColumn="1" w:lastColumn="0" w:oddVBand="0" w:evenVBand="0" w:oddHBand="0" w:evenHBand="0" w:firstRowFirstColumn="0" w:firstRowLastColumn="0" w:lastRowFirstColumn="0" w:lastRowLastColumn="0"/>
            <w:tcW w:w="1701" w:type="pct"/>
          </w:tcPr>
          <w:p w14:paraId="0DA3DD55" w14:textId="0E18E2D2" w:rsidR="00611F98" w:rsidRPr="00611F9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Haushaltsführung_S \h </w:instrText>
            </w:r>
            <w:r>
              <w:rPr>
                <w:rFonts w:eastAsia="Arial" w:cs="Arial"/>
                <w:szCs w:val="16"/>
              </w:rPr>
            </w:r>
            <w:r>
              <w:rPr>
                <w:rFonts w:eastAsia="Arial" w:cs="Arial"/>
                <w:szCs w:val="16"/>
              </w:rPr>
              <w:fldChar w:fldCharType="separate"/>
            </w:r>
            <w:r w:rsidR="00B72972">
              <w:rPr>
                <w:rFonts w:eastAsia="Arial" w:cs="Arial"/>
                <w:noProof/>
                <w:szCs w:val="16"/>
              </w:rPr>
              <w:t>11</w:t>
            </w:r>
            <w:r>
              <w:rPr>
                <w:rFonts w:eastAsia="Arial" w:cs="Arial"/>
                <w:szCs w:val="16"/>
              </w:rPr>
              <w:fldChar w:fldCharType="end"/>
            </w:r>
          </w:p>
        </w:tc>
        <w:tc>
          <w:tcPr>
            <w:tcW w:w="1650" w:type="pct"/>
          </w:tcPr>
          <w:p w14:paraId="626EC2DE"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4</w:t>
            </w:r>
          </w:p>
          <w:p w14:paraId="4E36B94E" w14:textId="77777777" w:rsidR="00611F98" w:rsidRPr="00611F98" w:rsidRDefault="00611F98" w:rsidP="0085750F">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12.1</w:t>
            </w:r>
          </w:p>
        </w:tc>
        <w:tc>
          <w:tcPr>
            <w:tcW w:w="1649" w:type="pct"/>
          </w:tcPr>
          <w:p w14:paraId="246FCC70"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7</w:t>
            </w:r>
          </w:p>
          <w:p w14:paraId="7002BC20" w14:textId="77777777" w:rsidR="00611F98" w:rsidRPr="00611F98" w:rsidRDefault="00611F98" w:rsidP="0085750F">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13</w:t>
            </w:r>
          </w:p>
        </w:tc>
      </w:tr>
      <w:tr w:rsidR="00611F98" w:rsidRPr="001255A8" w14:paraId="744C5FC0" w14:textId="77777777" w:rsidTr="00D53B75">
        <w:trPr>
          <w:cantSplit/>
          <w:trHeight w:val="589"/>
        </w:trPr>
        <w:tc>
          <w:tcPr>
            <w:cnfStyle w:val="001000000000" w:firstRow="0" w:lastRow="0" w:firstColumn="1" w:lastColumn="0" w:oddVBand="0" w:evenVBand="0" w:oddHBand="0" w:evenHBand="0" w:firstRowFirstColumn="0" w:firstRowLastColumn="0" w:lastRowFirstColumn="0" w:lastRowLastColumn="0"/>
            <w:tcW w:w="1701" w:type="pct"/>
          </w:tcPr>
          <w:p w14:paraId="4F919385" w14:textId="153AD60E" w:rsidR="00611F98" w:rsidRPr="00611F9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Transparenz_S \h </w:instrText>
            </w:r>
            <w:r>
              <w:rPr>
                <w:rFonts w:eastAsia="Arial" w:cs="Arial"/>
                <w:szCs w:val="16"/>
              </w:rPr>
            </w:r>
            <w:r>
              <w:rPr>
                <w:rFonts w:eastAsia="Arial" w:cs="Arial"/>
                <w:szCs w:val="16"/>
              </w:rPr>
              <w:fldChar w:fldCharType="separate"/>
            </w:r>
            <w:r w:rsidR="00B72972">
              <w:rPr>
                <w:rFonts w:eastAsia="Arial" w:cs="Arial"/>
                <w:noProof/>
                <w:szCs w:val="16"/>
              </w:rPr>
              <w:t>11</w:t>
            </w:r>
            <w:r>
              <w:rPr>
                <w:rFonts w:eastAsia="Arial" w:cs="Arial"/>
                <w:szCs w:val="16"/>
              </w:rPr>
              <w:fldChar w:fldCharType="end"/>
            </w:r>
          </w:p>
        </w:tc>
        <w:tc>
          <w:tcPr>
            <w:tcW w:w="1650" w:type="pct"/>
          </w:tcPr>
          <w:p w14:paraId="1ED5257E"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13.3</w:t>
            </w:r>
          </w:p>
          <w:p w14:paraId="720C13E2" w14:textId="77777777" w:rsidR="00611F98" w:rsidRPr="00611F98" w:rsidRDefault="00611F98" w:rsidP="0085750F">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Buchstabe F</w:t>
            </w:r>
          </w:p>
        </w:tc>
        <w:tc>
          <w:tcPr>
            <w:tcW w:w="1649" w:type="pct"/>
          </w:tcPr>
          <w:p w14:paraId="5463BF62"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15</w:t>
            </w:r>
          </w:p>
          <w:p w14:paraId="11B1FD3A" w14:textId="77777777" w:rsidR="00611F98" w:rsidRPr="00611F98" w:rsidRDefault="00611F98" w:rsidP="0085750F">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21</w:t>
            </w:r>
          </w:p>
        </w:tc>
      </w:tr>
      <w:tr w:rsidR="00611F98" w:rsidRPr="001255A8" w14:paraId="6AC55FB2" w14:textId="77777777" w:rsidTr="00D53B75">
        <w:trPr>
          <w:cantSplit/>
          <w:trHeight w:val="867"/>
        </w:trPr>
        <w:tc>
          <w:tcPr>
            <w:cnfStyle w:val="001000000000" w:firstRow="0" w:lastRow="0" w:firstColumn="1" w:lastColumn="0" w:oddVBand="0" w:evenVBand="0" w:oddHBand="0" w:evenHBand="0" w:firstRowFirstColumn="0" w:firstRowLastColumn="0" w:lastRowFirstColumn="0" w:lastRowLastColumn="0"/>
            <w:tcW w:w="1701" w:type="pct"/>
          </w:tcPr>
          <w:p w14:paraId="3102461B" w14:textId="658A9889"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Gleichbehandlung_S \h </w:instrText>
            </w:r>
            <w:r>
              <w:rPr>
                <w:rFonts w:eastAsia="Arial" w:cs="Arial"/>
                <w:szCs w:val="16"/>
              </w:rPr>
            </w:r>
            <w:r>
              <w:rPr>
                <w:rFonts w:eastAsia="Arial" w:cs="Arial"/>
                <w:szCs w:val="16"/>
              </w:rPr>
              <w:fldChar w:fldCharType="separate"/>
            </w:r>
            <w:r w:rsidR="00B72972">
              <w:rPr>
                <w:rFonts w:eastAsia="Arial" w:cs="Arial"/>
                <w:noProof/>
                <w:szCs w:val="16"/>
              </w:rPr>
              <w:t>11</w:t>
            </w:r>
            <w:r>
              <w:rPr>
                <w:rFonts w:eastAsia="Arial" w:cs="Arial"/>
                <w:szCs w:val="16"/>
              </w:rPr>
              <w:fldChar w:fldCharType="end"/>
            </w:r>
          </w:p>
        </w:tc>
        <w:tc>
          <w:tcPr>
            <w:tcW w:w="1650" w:type="pct"/>
          </w:tcPr>
          <w:p w14:paraId="3F484F4D"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7.2</w:t>
            </w:r>
          </w:p>
          <w:p w14:paraId="5417207A"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10</w:t>
            </w:r>
          </w:p>
          <w:p w14:paraId="1645CA8E"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12.4</w:t>
            </w:r>
          </w:p>
          <w:p w14:paraId="0E786216"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15</w:t>
            </w:r>
          </w:p>
        </w:tc>
        <w:tc>
          <w:tcPr>
            <w:tcW w:w="1649" w:type="pct"/>
          </w:tcPr>
          <w:p w14:paraId="3B5797D2"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10</w:t>
            </w:r>
          </w:p>
          <w:p w14:paraId="2A68251D"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11</w:t>
            </w:r>
          </w:p>
          <w:p w14:paraId="78648A7F"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14</w:t>
            </w:r>
          </w:p>
          <w:p w14:paraId="4422167C"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16</w:t>
            </w:r>
          </w:p>
        </w:tc>
      </w:tr>
      <w:tr w:rsidR="00611F98" w:rsidRPr="001255A8" w14:paraId="5E2A4BDC" w14:textId="77777777" w:rsidTr="00D53B75">
        <w:trPr>
          <w:cantSplit/>
          <w:trHeight w:val="315"/>
        </w:trPr>
        <w:tc>
          <w:tcPr>
            <w:cnfStyle w:val="001000000000" w:firstRow="0" w:lastRow="0" w:firstColumn="1" w:lastColumn="0" w:oddVBand="0" w:evenVBand="0" w:oddHBand="0" w:evenHBand="0" w:firstRowFirstColumn="0" w:firstRowLastColumn="0" w:lastRowFirstColumn="0" w:lastRowLastColumn="0"/>
            <w:tcW w:w="1701" w:type="pct"/>
          </w:tcPr>
          <w:p w14:paraId="30F528E6" w14:textId="62F25675"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Stückelungsverbot_S \h </w:instrText>
            </w:r>
            <w:r>
              <w:rPr>
                <w:rFonts w:eastAsia="Arial" w:cs="Arial"/>
                <w:szCs w:val="16"/>
              </w:rPr>
            </w:r>
            <w:r>
              <w:rPr>
                <w:rFonts w:eastAsia="Arial" w:cs="Arial"/>
                <w:szCs w:val="16"/>
              </w:rPr>
              <w:fldChar w:fldCharType="separate"/>
            </w:r>
            <w:r w:rsidR="00B72972">
              <w:rPr>
                <w:rFonts w:eastAsia="Arial" w:cs="Arial"/>
                <w:noProof/>
                <w:szCs w:val="16"/>
              </w:rPr>
              <w:t>11</w:t>
            </w:r>
            <w:r>
              <w:rPr>
                <w:rFonts w:eastAsia="Arial" w:cs="Arial"/>
                <w:szCs w:val="16"/>
              </w:rPr>
              <w:fldChar w:fldCharType="end"/>
            </w:r>
          </w:p>
        </w:tc>
        <w:tc>
          <w:tcPr>
            <w:tcW w:w="1650" w:type="pct"/>
          </w:tcPr>
          <w:p w14:paraId="482ED57F"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8</w:t>
            </w:r>
          </w:p>
        </w:tc>
        <w:tc>
          <w:tcPr>
            <w:tcW w:w="1649" w:type="pct"/>
          </w:tcPr>
          <w:p w14:paraId="47C15017"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10</w:t>
            </w:r>
          </w:p>
        </w:tc>
      </w:tr>
      <w:tr w:rsidR="00611F98" w:rsidRPr="001255A8" w14:paraId="364A4B14" w14:textId="77777777" w:rsidTr="00D53B75">
        <w:trPr>
          <w:cantSplit/>
          <w:trHeight w:val="321"/>
        </w:trPr>
        <w:tc>
          <w:tcPr>
            <w:cnfStyle w:val="001000000000" w:firstRow="0" w:lastRow="0" w:firstColumn="1" w:lastColumn="0" w:oddVBand="0" w:evenVBand="0" w:oddHBand="0" w:evenHBand="0" w:firstRowFirstColumn="0" w:firstRowLastColumn="0" w:lastRowFirstColumn="0" w:lastRowLastColumn="0"/>
            <w:tcW w:w="1701" w:type="pct"/>
          </w:tcPr>
          <w:p w14:paraId="17AD1808" w14:textId="3DA6884B"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Nachhaltigkeit_S \h </w:instrText>
            </w:r>
            <w:r>
              <w:rPr>
                <w:rFonts w:eastAsia="Arial" w:cs="Arial"/>
                <w:szCs w:val="16"/>
              </w:rPr>
            </w:r>
            <w:r>
              <w:rPr>
                <w:rFonts w:eastAsia="Arial" w:cs="Arial"/>
                <w:szCs w:val="16"/>
              </w:rPr>
              <w:fldChar w:fldCharType="separate"/>
            </w:r>
            <w:r w:rsidR="00B72972">
              <w:rPr>
                <w:rFonts w:eastAsia="Arial" w:cs="Arial"/>
                <w:noProof/>
                <w:szCs w:val="16"/>
              </w:rPr>
              <w:t>12</w:t>
            </w:r>
            <w:r>
              <w:rPr>
                <w:rFonts w:eastAsia="Arial" w:cs="Arial"/>
                <w:szCs w:val="16"/>
              </w:rPr>
              <w:fldChar w:fldCharType="end"/>
            </w:r>
          </w:p>
        </w:tc>
        <w:tc>
          <w:tcPr>
            <w:tcW w:w="1650" w:type="pct"/>
          </w:tcPr>
          <w:p w14:paraId="667FADF7"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7.1</w:t>
            </w:r>
          </w:p>
        </w:tc>
        <w:tc>
          <w:tcPr>
            <w:tcW w:w="1649" w:type="pct"/>
          </w:tcPr>
          <w:p w14:paraId="4B41CC60"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9</w:t>
            </w:r>
          </w:p>
        </w:tc>
      </w:tr>
      <w:tr w:rsidR="00611F98" w:rsidRPr="001255A8" w14:paraId="40BF3FF1" w14:textId="77777777" w:rsidTr="00D53B75">
        <w:trPr>
          <w:cantSplit/>
          <w:trHeight w:val="299"/>
        </w:trPr>
        <w:tc>
          <w:tcPr>
            <w:cnfStyle w:val="001000000000" w:firstRow="0" w:lastRow="0" w:firstColumn="1" w:lastColumn="0" w:oddVBand="0" w:evenVBand="0" w:oddHBand="0" w:evenHBand="0" w:firstRowFirstColumn="0" w:firstRowLastColumn="0" w:lastRowFirstColumn="0" w:lastRowLastColumn="0"/>
            <w:tcW w:w="1701" w:type="pct"/>
          </w:tcPr>
          <w:p w14:paraId="5B2F0DB0" w14:textId="5801850F"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Binnenmarkt_S \h </w:instrText>
            </w:r>
            <w:r>
              <w:rPr>
                <w:rFonts w:eastAsia="Arial" w:cs="Arial"/>
                <w:szCs w:val="16"/>
              </w:rPr>
            </w:r>
            <w:r>
              <w:rPr>
                <w:rFonts w:eastAsia="Arial" w:cs="Arial"/>
                <w:szCs w:val="16"/>
              </w:rPr>
              <w:fldChar w:fldCharType="separate"/>
            </w:r>
            <w:r w:rsidR="00B72972">
              <w:rPr>
                <w:rFonts w:eastAsia="Arial" w:cs="Arial"/>
                <w:noProof/>
                <w:szCs w:val="16"/>
              </w:rPr>
              <w:t>14</w:t>
            </w:r>
            <w:r>
              <w:rPr>
                <w:rFonts w:eastAsia="Arial" w:cs="Arial"/>
                <w:szCs w:val="16"/>
              </w:rPr>
              <w:fldChar w:fldCharType="end"/>
            </w:r>
          </w:p>
        </w:tc>
        <w:tc>
          <w:tcPr>
            <w:tcW w:w="1650" w:type="pct"/>
          </w:tcPr>
          <w:p w14:paraId="372D0775"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9</w:t>
            </w:r>
          </w:p>
        </w:tc>
        <w:tc>
          <w:tcPr>
            <w:tcW w:w="1649" w:type="pct"/>
          </w:tcPr>
          <w:p w14:paraId="5583EA45"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11</w:t>
            </w:r>
          </w:p>
        </w:tc>
      </w:tr>
      <w:tr w:rsidR="00611F98" w:rsidRPr="001255A8" w14:paraId="527E1BC7" w14:textId="77777777" w:rsidTr="00D53B75">
        <w:trPr>
          <w:cantSplit/>
          <w:trHeight w:val="588"/>
        </w:trPr>
        <w:tc>
          <w:tcPr>
            <w:cnfStyle w:val="001000000000" w:firstRow="0" w:lastRow="0" w:firstColumn="1" w:lastColumn="0" w:oddVBand="0" w:evenVBand="0" w:oddHBand="0" w:evenHBand="0" w:firstRowFirstColumn="0" w:firstRowLastColumn="0" w:lastRowFirstColumn="0" w:lastRowLastColumn="0"/>
            <w:tcW w:w="1701" w:type="pct"/>
          </w:tcPr>
          <w:p w14:paraId="0404E974" w14:textId="245B4023"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Verfahrensarten_S \h </w:instrText>
            </w:r>
            <w:r>
              <w:rPr>
                <w:rFonts w:eastAsia="Arial" w:cs="Arial"/>
                <w:szCs w:val="16"/>
              </w:rPr>
            </w:r>
            <w:r>
              <w:rPr>
                <w:rFonts w:eastAsia="Arial" w:cs="Arial"/>
                <w:szCs w:val="16"/>
              </w:rPr>
              <w:fldChar w:fldCharType="separate"/>
            </w:r>
            <w:r w:rsidR="00B72972">
              <w:rPr>
                <w:rFonts w:eastAsia="Arial" w:cs="Arial"/>
                <w:noProof/>
                <w:szCs w:val="16"/>
              </w:rPr>
              <w:t>15</w:t>
            </w:r>
            <w:r>
              <w:rPr>
                <w:rFonts w:eastAsia="Arial" w:cs="Arial"/>
                <w:szCs w:val="16"/>
              </w:rPr>
              <w:fldChar w:fldCharType="end"/>
            </w:r>
          </w:p>
        </w:tc>
        <w:tc>
          <w:tcPr>
            <w:tcW w:w="1650" w:type="pct"/>
          </w:tcPr>
          <w:p w14:paraId="4B7CC601"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5</w:t>
            </w:r>
          </w:p>
          <w:p w14:paraId="0CC4FD6B"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11</w:t>
            </w:r>
          </w:p>
        </w:tc>
        <w:tc>
          <w:tcPr>
            <w:tcW w:w="1649" w:type="pct"/>
          </w:tcPr>
          <w:p w14:paraId="7C3A984E"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8</w:t>
            </w:r>
          </w:p>
          <w:p w14:paraId="6EF1EF81"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12</w:t>
            </w:r>
          </w:p>
        </w:tc>
      </w:tr>
      <w:tr w:rsidR="00611F98" w:rsidRPr="001255A8" w14:paraId="22543344" w14:textId="77777777" w:rsidTr="00D53B75">
        <w:trPr>
          <w:cantSplit/>
        </w:trPr>
        <w:tc>
          <w:tcPr>
            <w:cnfStyle w:val="001000000000" w:firstRow="0" w:lastRow="0" w:firstColumn="1" w:lastColumn="0" w:oddVBand="0" w:evenVBand="0" w:oddHBand="0" w:evenHBand="0" w:firstRowFirstColumn="0" w:firstRowLastColumn="0" w:lastRowFirstColumn="0" w:lastRowLastColumn="0"/>
            <w:tcW w:w="1701" w:type="pct"/>
          </w:tcPr>
          <w:p w14:paraId="4AFC7B22" w14:textId="48BFE18D"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sidRPr="001255A8">
              <w:rPr>
                <w:rFonts w:eastAsia="Arial" w:cs="Arial"/>
                <w:szCs w:val="16"/>
              </w:rPr>
              <w:fldChar w:fldCharType="begin"/>
            </w:r>
            <w:r w:rsidRPr="001255A8">
              <w:rPr>
                <w:rFonts w:eastAsia="Arial" w:cs="Arial"/>
                <w:szCs w:val="16"/>
              </w:rPr>
              <w:instrText xml:space="preserve"> PAGEREF _Ref212466310 \h </w:instrText>
            </w:r>
            <w:r w:rsidRPr="001255A8">
              <w:rPr>
                <w:rFonts w:eastAsia="Arial" w:cs="Arial"/>
                <w:szCs w:val="16"/>
              </w:rPr>
            </w:r>
            <w:r w:rsidRPr="001255A8">
              <w:rPr>
                <w:rFonts w:eastAsia="Arial" w:cs="Arial"/>
                <w:szCs w:val="16"/>
              </w:rPr>
              <w:fldChar w:fldCharType="separate"/>
            </w:r>
            <w:r w:rsidR="00B72972">
              <w:rPr>
                <w:rFonts w:eastAsia="Arial" w:cs="Arial"/>
                <w:noProof/>
                <w:szCs w:val="16"/>
              </w:rPr>
              <w:t>15</w:t>
            </w:r>
            <w:r w:rsidRPr="001255A8">
              <w:rPr>
                <w:rFonts w:eastAsia="Arial" w:cs="Arial"/>
                <w:szCs w:val="16"/>
              </w:rPr>
              <w:fldChar w:fldCharType="end"/>
            </w:r>
          </w:p>
        </w:tc>
        <w:tc>
          <w:tcPr>
            <w:tcW w:w="1650" w:type="pct"/>
          </w:tcPr>
          <w:p w14:paraId="530C9906"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5</w:t>
            </w:r>
          </w:p>
        </w:tc>
        <w:tc>
          <w:tcPr>
            <w:tcW w:w="1649" w:type="pct"/>
          </w:tcPr>
          <w:p w14:paraId="25575492"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8</w:t>
            </w:r>
          </w:p>
        </w:tc>
      </w:tr>
      <w:tr w:rsidR="00611F98" w:rsidRPr="001255A8" w14:paraId="6DA5C531" w14:textId="77777777" w:rsidTr="00D53B75">
        <w:trPr>
          <w:cantSplit/>
        </w:trPr>
        <w:tc>
          <w:tcPr>
            <w:cnfStyle w:val="001000000000" w:firstRow="0" w:lastRow="0" w:firstColumn="1" w:lastColumn="0" w:oddVBand="0" w:evenVBand="0" w:oddHBand="0" w:evenHBand="0" w:firstRowFirstColumn="0" w:firstRowLastColumn="0" w:lastRowFirstColumn="0" w:lastRowLastColumn="0"/>
            <w:tcW w:w="1701" w:type="pct"/>
          </w:tcPr>
          <w:p w14:paraId="133F8375" w14:textId="2B706CD4"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Angebotseinholung \h </w:instrText>
            </w:r>
            <w:r>
              <w:rPr>
                <w:rFonts w:eastAsia="Arial" w:cs="Arial"/>
                <w:szCs w:val="16"/>
              </w:rPr>
            </w:r>
            <w:r>
              <w:rPr>
                <w:rFonts w:eastAsia="Arial" w:cs="Arial"/>
                <w:szCs w:val="16"/>
              </w:rPr>
              <w:fldChar w:fldCharType="separate"/>
            </w:r>
            <w:r w:rsidR="00B72972">
              <w:rPr>
                <w:rFonts w:eastAsia="Arial" w:cs="Arial"/>
                <w:noProof/>
                <w:szCs w:val="16"/>
              </w:rPr>
              <w:t>16</w:t>
            </w:r>
            <w:r>
              <w:rPr>
                <w:rFonts w:eastAsia="Arial" w:cs="Arial"/>
                <w:szCs w:val="16"/>
              </w:rPr>
              <w:fldChar w:fldCharType="end"/>
            </w:r>
          </w:p>
        </w:tc>
        <w:tc>
          <w:tcPr>
            <w:tcW w:w="1650" w:type="pct"/>
          </w:tcPr>
          <w:p w14:paraId="06A2EB7C"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12.5</w:t>
            </w:r>
          </w:p>
        </w:tc>
        <w:tc>
          <w:tcPr>
            <w:tcW w:w="1649" w:type="pct"/>
          </w:tcPr>
          <w:p w14:paraId="3330AE91"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15</w:t>
            </w:r>
          </w:p>
        </w:tc>
      </w:tr>
      <w:tr w:rsidR="00611F98" w:rsidRPr="001255A8" w14:paraId="63546F27" w14:textId="77777777" w:rsidTr="00D53B75">
        <w:trPr>
          <w:cantSplit/>
          <w:trHeight w:val="303"/>
        </w:trPr>
        <w:tc>
          <w:tcPr>
            <w:cnfStyle w:val="001000000000" w:firstRow="0" w:lastRow="0" w:firstColumn="1" w:lastColumn="0" w:oddVBand="0" w:evenVBand="0" w:oddHBand="0" w:evenHBand="0" w:firstRowFirstColumn="0" w:firstRowLastColumn="0" w:lastRowFirstColumn="0" w:lastRowLastColumn="0"/>
            <w:tcW w:w="1701" w:type="pct"/>
          </w:tcPr>
          <w:p w14:paraId="0B8AE4D0" w14:textId="443D4A41"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Angebotsöffnung_S \h </w:instrText>
            </w:r>
            <w:r>
              <w:rPr>
                <w:rFonts w:eastAsia="Arial" w:cs="Arial"/>
                <w:szCs w:val="16"/>
              </w:rPr>
            </w:r>
            <w:r>
              <w:rPr>
                <w:rFonts w:eastAsia="Arial" w:cs="Arial"/>
                <w:szCs w:val="16"/>
              </w:rPr>
              <w:fldChar w:fldCharType="separate"/>
            </w:r>
            <w:r w:rsidR="00B72972">
              <w:rPr>
                <w:rFonts w:eastAsia="Arial" w:cs="Arial"/>
                <w:noProof/>
                <w:szCs w:val="16"/>
              </w:rPr>
              <w:t>17</w:t>
            </w:r>
            <w:r>
              <w:rPr>
                <w:rFonts w:eastAsia="Arial" w:cs="Arial"/>
                <w:szCs w:val="16"/>
              </w:rPr>
              <w:fldChar w:fldCharType="end"/>
            </w:r>
          </w:p>
        </w:tc>
        <w:tc>
          <w:tcPr>
            <w:tcW w:w="1650" w:type="pct"/>
          </w:tcPr>
          <w:p w14:paraId="6A78A45A"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12.4</w:t>
            </w:r>
          </w:p>
        </w:tc>
        <w:tc>
          <w:tcPr>
            <w:tcW w:w="1649" w:type="pct"/>
          </w:tcPr>
          <w:p w14:paraId="3145F1A7"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14</w:t>
            </w:r>
          </w:p>
        </w:tc>
      </w:tr>
      <w:tr w:rsidR="00611F98" w:rsidRPr="001255A8" w14:paraId="085DDD58" w14:textId="77777777" w:rsidTr="00D53B75">
        <w:trPr>
          <w:cantSplit/>
          <w:trHeight w:val="500"/>
        </w:trPr>
        <w:tc>
          <w:tcPr>
            <w:cnfStyle w:val="001000000000" w:firstRow="0" w:lastRow="0" w:firstColumn="1" w:lastColumn="0" w:oddVBand="0" w:evenVBand="0" w:oddHBand="0" w:evenHBand="0" w:firstRowFirstColumn="0" w:firstRowLastColumn="0" w:lastRowFirstColumn="0" w:lastRowLastColumn="0"/>
            <w:tcW w:w="1701" w:type="pct"/>
          </w:tcPr>
          <w:p w14:paraId="3939230E" w14:textId="56AC26BE"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sidRPr="001255A8">
              <w:rPr>
                <w:rFonts w:eastAsia="Arial" w:cs="Arial"/>
                <w:szCs w:val="16"/>
              </w:rPr>
              <w:fldChar w:fldCharType="begin"/>
            </w:r>
            <w:r w:rsidRPr="001255A8">
              <w:rPr>
                <w:rFonts w:eastAsia="Arial" w:cs="Arial"/>
                <w:szCs w:val="16"/>
              </w:rPr>
              <w:instrText xml:space="preserve"> PAGEREF _Ref212466728 \h </w:instrText>
            </w:r>
            <w:r w:rsidRPr="001255A8">
              <w:rPr>
                <w:rFonts w:eastAsia="Arial" w:cs="Arial"/>
                <w:szCs w:val="16"/>
              </w:rPr>
            </w:r>
            <w:r w:rsidRPr="001255A8">
              <w:rPr>
                <w:rFonts w:eastAsia="Arial" w:cs="Arial"/>
                <w:szCs w:val="16"/>
              </w:rPr>
              <w:fldChar w:fldCharType="separate"/>
            </w:r>
            <w:r w:rsidR="00B72972">
              <w:rPr>
                <w:rFonts w:eastAsia="Arial" w:cs="Arial"/>
                <w:noProof/>
                <w:szCs w:val="16"/>
              </w:rPr>
              <w:t>19</w:t>
            </w:r>
            <w:r w:rsidRPr="001255A8">
              <w:rPr>
                <w:rFonts w:eastAsia="Arial" w:cs="Arial"/>
                <w:szCs w:val="16"/>
              </w:rPr>
              <w:fldChar w:fldCharType="end"/>
            </w:r>
          </w:p>
        </w:tc>
        <w:tc>
          <w:tcPr>
            <w:tcW w:w="1650" w:type="pct"/>
          </w:tcPr>
          <w:p w14:paraId="60029B89"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11</w:t>
            </w:r>
          </w:p>
          <w:p w14:paraId="5F15D399"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13.1</w:t>
            </w:r>
          </w:p>
        </w:tc>
        <w:tc>
          <w:tcPr>
            <w:tcW w:w="1649" w:type="pct"/>
          </w:tcPr>
          <w:p w14:paraId="636385F2"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13</w:t>
            </w:r>
          </w:p>
          <w:p w14:paraId="7C168E4B"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15</w:t>
            </w:r>
          </w:p>
        </w:tc>
      </w:tr>
      <w:tr w:rsidR="00611F98" w:rsidRPr="001255A8" w14:paraId="131C917F" w14:textId="77777777" w:rsidTr="00D53B75">
        <w:trPr>
          <w:cantSplit/>
        </w:trPr>
        <w:tc>
          <w:tcPr>
            <w:cnfStyle w:val="001000000000" w:firstRow="0" w:lastRow="0" w:firstColumn="1" w:lastColumn="0" w:oddVBand="0" w:evenVBand="0" w:oddHBand="0" w:evenHBand="0" w:firstRowFirstColumn="0" w:firstRowLastColumn="0" w:lastRowFirstColumn="0" w:lastRowLastColumn="0"/>
            <w:tcW w:w="1701" w:type="pct"/>
          </w:tcPr>
          <w:p w14:paraId="14012375" w14:textId="1C26FDDB"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Aufhebung_S \h </w:instrText>
            </w:r>
            <w:r>
              <w:rPr>
                <w:rFonts w:eastAsia="Arial" w:cs="Arial"/>
                <w:szCs w:val="16"/>
              </w:rPr>
            </w:r>
            <w:r>
              <w:rPr>
                <w:rFonts w:eastAsia="Arial" w:cs="Arial"/>
                <w:szCs w:val="16"/>
              </w:rPr>
              <w:fldChar w:fldCharType="separate"/>
            </w:r>
            <w:r w:rsidR="00B72972">
              <w:rPr>
                <w:rFonts w:eastAsia="Arial" w:cs="Arial"/>
                <w:noProof/>
                <w:szCs w:val="16"/>
              </w:rPr>
              <w:t>19</w:t>
            </w:r>
            <w:r>
              <w:rPr>
                <w:rFonts w:eastAsia="Arial" w:cs="Arial"/>
                <w:szCs w:val="16"/>
              </w:rPr>
              <w:fldChar w:fldCharType="end"/>
            </w:r>
          </w:p>
        </w:tc>
        <w:tc>
          <w:tcPr>
            <w:tcW w:w="1650" w:type="pct"/>
          </w:tcPr>
          <w:p w14:paraId="0AB9F29C"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14</w:t>
            </w:r>
          </w:p>
        </w:tc>
        <w:tc>
          <w:tcPr>
            <w:tcW w:w="1649" w:type="pct"/>
          </w:tcPr>
          <w:p w14:paraId="1A9CF981"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15</w:t>
            </w:r>
          </w:p>
        </w:tc>
      </w:tr>
      <w:tr w:rsidR="00611F98" w:rsidRPr="001255A8" w14:paraId="64B9492E" w14:textId="77777777" w:rsidTr="00D53B75">
        <w:trPr>
          <w:cantSplit/>
          <w:trHeight w:val="543"/>
        </w:trPr>
        <w:tc>
          <w:tcPr>
            <w:cnfStyle w:val="001000000000" w:firstRow="0" w:lastRow="0" w:firstColumn="1" w:lastColumn="0" w:oddVBand="0" w:evenVBand="0" w:oddHBand="0" w:evenHBand="0" w:firstRowFirstColumn="0" w:firstRowLastColumn="0" w:lastRowFirstColumn="0" w:lastRowLastColumn="0"/>
            <w:tcW w:w="1701" w:type="pct"/>
          </w:tcPr>
          <w:p w14:paraId="4A06817D" w14:textId="6270644D"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Zuschlag_S \h </w:instrText>
            </w:r>
            <w:r>
              <w:rPr>
                <w:rFonts w:eastAsia="Arial" w:cs="Arial"/>
                <w:szCs w:val="16"/>
              </w:rPr>
            </w:r>
            <w:r>
              <w:rPr>
                <w:rFonts w:eastAsia="Arial" w:cs="Arial"/>
                <w:szCs w:val="16"/>
              </w:rPr>
              <w:fldChar w:fldCharType="separate"/>
            </w:r>
            <w:r w:rsidR="00B72972">
              <w:rPr>
                <w:rFonts w:eastAsia="Arial" w:cs="Arial"/>
                <w:noProof/>
                <w:szCs w:val="16"/>
              </w:rPr>
              <w:t>20</w:t>
            </w:r>
            <w:r>
              <w:rPr>
                <w:rFonts w:eastAsia="Arial" w:cs="Arial"/>
                <w:szCs w:val="16"/>
              </w:rPr>
              <w:fldChar w:fldCharType="end"/>
            </w:r>
          </w:p>
        </w:tc>
        <w:tc>
          <w:tcPr>
            <w:tcW w:w="1650" w:type="pct"/>
          </w:tcPr>
          <w:p w14:paraId="76A275C5"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4.1</w:t>
            </w:r>
          </w:p>
          <w:p w14:paraId="518CECD8"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11</w:t>
            </w:r>
          </w:p>
        </w:tc>
        <w:tc>
          <w:tcPr>
            <w:tcW w:w="1649" w:type="pct"/>
          </w:tcPr>
          <w:p w14:paraId="2666F210"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7</w:t>
            </w:r>
          </w:p>
          <w:p w14:paraId="56611040"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13</w:t>
            </w:r>
          </w:p>
        </w:tc>
      </w:tr>
      <w:tr w:rsidR="00611F98" w:rsidRPr="001255A8" w14:paraId="06FD8F55" w14:textId="77777777" w:rsidTr="00E12426">
        <w:trPr>
          <w:cantSplit/>
          <w:trHeight w:val="355"/>
        </w:trPr>
        <w:tc>
          <w:tcPr>
            <w:cnfStyle w:val="001000000000" w:firstRow="0" w:lastRow="0" w:firstColumn="1" w:lastColumn="0" w:oddVBand="0" w:evenVBand="0" w:oddHBand="0" w:evenHBand="0" w:firstRowFirstColumn="0" w:firstRowLastColumn="0" w:lastRowFirstColumn="0" w:lastRowLastColumn="0"/>
            <w:tcW w:w="1701" w:type="pct"/>
          </w:tcPr>
          <w:p w14:paraId="33395310" w14:textId="764A4480"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bookmarkStart w:id="66" w:name="Statistik_FAQ"/>
            <w:bookmarkEnd w:id="66"/>
            <w:r>
              <w:rPr>
                <w:rFonts w:eastAsia="Arial" w:cs="Arial"/>
                <w:szCs w:val="16"/>
              </w:rPr>
              <w:fldChar w:fldCharType="begin"/>
            </w:r>
            <w:r>
              <w:rPr>
                <w:rFonts w:eastAsia="Arial" w:cs="Arial"/>
                <w:szCs w:val="16"/>
              </w:rPr>
              <w:instrText xml:space="preserve"> PAGEREF  Statistik_S \h </w:instrText>
            </w:r>
            <w:r>
              <w:rPr>
                <w:rFonts w:eastAsia="Arial" w:cs="Arial"/>
                <w:szCs w:val="16"/>
              </w:rPr>
            </w:r>
            <w:r>
              <w:rPr>
                <w:rFonts w:eastAsia="Arial" w:cs="Arial"/>
                <w:szCs w:val="16"/>
              </w:rPr>
              <w:fldChar w:fldCharType="separate"/>
            </w:r>
            <w:r w:rsidR="00B72972">
              <w:rPr>
                <w:rFonts w:eastAsia="Arial" w:cs="Arial"/>
                <w:noProof/>
                <w:szCs w:val="16"/>
              </w:rPr>
              <w:t>20</w:t>
            </w:r>
            <w:r>
              <w:rPr>
                <w:rFonts w:eastAsia="Arial" w:cs="Arial"/>
                <w:szCs w:val="16"/>
              </w:rPr>
              <w:fldChar w:fldCharType="end"/>
            </w:r>
            <w:r w:rsidRPr="001255A8">
              <w:rPr>
                <w:rFonts w:eastAsia="Arial" w:cs="Arial"/>
                <w:szCs w:val="16"/>
              </w:rPr>
              <w:t xml:space="preserve">, </w:t>
            </w:r>
          </w:p>
        </w:tc>
        <w:tc>
          <w:tcPr>
            <w:tcW w:w="1650" w:type="pct"/>
          </w:tcPr>
          <w:p w14:paraId="39344F20"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17</w:t>
            </w:r>
          </w:p>
        </w:tc>
        <w:tc>
          <w:tcPr>
            <w:tcW w:w="1649" w:type="pct"/>
          </w:tcPr>
          <w:p w14:paraId="26CC4EF3"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17</w:t>
            </w:r>
          </w:p>
        </w:tc>
      </w:tr>
      <w:tr w:rsidR="00611F98" w:rsidRPr="001255A8" w14:paraId="46A80E0E" w14:textId="77777777" w:rsidTr="00D53B75">
        <w:trPr>
          <w:cantSplit/>
          <w:trHeight w:val="401"/>
        </w:trPr>
        <w:tc>
          <w:tcPr>
            <w:cnfStyle w:val="001000000000" w:firstRow="0" w:lastRow="0" w:firstColumn="1" w:lastColumn="0" w:oddVBand="0" w:evenVBand="0" w:oddHBand="0" w:evenHBand="0" w:firstRowFirstColumn="0" w:firstRowLastColumn="0" w:lastRowFirstColumn="0" w:lastRowLastColumn="0"/>
            <w:tcW w:w="1701" w:type="pct"/>
          </w:tcPr>
          <w:p w14:paraId="48705531" w14:textId="2D4CA3D8"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Dokumentation_S \h </w:instrText>
            </w:r>
            <w:r>
              <w:rPr>
                <w:rFonts w:eastAsia="Arial" w:cs="Arial"/>
                <w:szCs w:val="16"/>
              </w:rPr>
            </w:r>
            <w:r>
              <w:rPr>
                <w:rFonts w:eastAsia="Arial" w:cs="Arial"/>
                <w:szCs w:val="16"/>
              </w:rPr>
              <w:fldChar w:fldCharType="separate"/>
            </w:r>
            <w:r w:rsidR="00B72972">
              <w:rPr>
                <w:rFonts w:eastAsia="Arial" w:cs="Arial"/>
                <w:noProof/>
                <w:szCs w:val="16"/>
              </w:rPr>
              <w:t>20</w:t>
            </w:r>
            <w:r>
              <w:rPr>
                <w:rFonts w:eastAsia="Arial" w:cs="Arial"/>
                <w:szCs w:val="16"/>
              </w:rPr>
              <w:fldChar w:fldCharType="end"/>
            </w:r>
          </w:p>
        </w:tc>
        <w:tc>
          <w:tcPr>
            <w:tcW w:w="1650" w:type="pct"/>
          </w:tcPr>
          <w:p w14:paraId="1881242D"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p>
        </w:tc>
        <w:tc>
          <w:tcPr>
            <w:tcW w:w="1649" w:type="pct"/>
          </w:tcPr>
          <w:p w14:paraId="2D5590FD"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16 (oben)</w:t>
            </w:r>
          </w:p>
        </w:tc>
      </w:tr>
      <w:tr w:rsidR="00611F98" w:rsidRPr="001255A8" w14:paraId="1094F78B" w14:textId="77777777" w:rsidTr="00D53B75">
        <w:trPr>
          <w:cantSplit/>
          <w:trHeight w:val="547"/>
        </w:trPr>
        <w:tc>
          <w:tcPr>
            <w:cnfStyle w:val="001000000000" w:firstRow="0" w:lastRow="0" w:firstColumn="1" w:lastColumn="0" w:oddVBand="0" w:evenVBand="0" w:oddHBand="0" w:evenHBand="0" w:firstRowFirstColumn="0" w:firstRowLastColumn="0" w:lastRowFirstColumn="0" w:lastRowLastColumn="0"/>
            <w:tcW w:w="1701" w:type="pct"/>
          </w:tcPr>
          <w:p w14:paraId="38300840" w14:textId="73E5D508" w:rsidR="00611F98" w:rsidRPr="001255A8" w:rsidRDefault="00611F98" w:rsidP="00611F98">
            <w:pPr>
              <w:keepNext/>
              <w:autoSpaceDN w:val="0"/>
              <w:spacing w:before="0" w:line="210" w:lineRule="atLeast"/>
              <w:textAlignment w:val="baseline"/>
              <w:rPr>
                <w:rFonts w:eastAsia="Arial" w:cs="Arial"/>
                <w:szCs w:val="16"/>
              </w:rPr>
            </w:pPr>
            <w:r w:rsidRPr="001255A8">
              <w:rPr>
                <w:rFonts w:eastAsia="Arial" w:cs="Arial"/>
                <w:szCs w:val="16"/>
              </w:rPr>
              <w:t xml:space="preserve">Seite </w:t>
            </w:r>
            <w:r>
              <w:rPr>
                <w:rFonts w:eastAsia="Arial" w:cs="Arial"/>
                <w:szCs w:val="16"/>
              </w:rPr>
              <w:fldChar w:fldCharType="begin"/>
            </w:r>
            <w:r>
              <w:rPr>
                <w:rFonts w:eastAsia="Arial" w:cs="Arial"/>
                <w:szCs w:val="16"/>
              </w:rPr>
              <w:instrText xml:space="preserve"> PAGEREF  Auftragsänderungen_S \h </w:instrText>
            </w:r>
            <w:r>
              <w:rPr>
                <w:rFonts w:eastAsia="Arial" w:cs="Arial"/>
                <w:szCs w:val="16"/>
              </w:rPr>
            </w:r>
            <w:r>
              <w:rPr>
                <w:rFonts w:eastAsia="Arial" w:cs="Arial"/>
                <w:szCs w:val="16"/>
              </w:rPr>
              <w:fldChar w:fldCharType="separate"/>
            </w:r>
            <w:r w:rsidR="00B72972">
              <w:rPr>
                <w:rFonts w:eastAsia="Arial" w:cs="Arial"/>
                <w:noProof/>
                <w:szCs w:val="16"/>
              </w:rPr>
              <w:t>22</w:t>
            </w:r>
            <w:r>
              <w:rPr>
                <w:rFonts w:eastAsia="Arial" w:cs="Arial"/>
                <w:szCs w:val="16"/>
              </w:rPr>
              <w:fldChar w:fldCharType="end"/>
            </w:r>
          </w:p>
        </w:tc>
        <w:tc>
          <w:tcPr>
            <w:tcW w:w="1650" w:type="pct"/>
          </w:tcPr>
          <w:p w14:paraId="25B95EEF"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11</w:t>
            </w:r>
          </w:p>
          <w:p w14:paraId="537BCEF0"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16</w:t>
            </w:r>
          </w:p>
          <w:p w14:paraId="4FBEBE67"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17</w:t>
            </w:r>
          </w:p>
        </w:tc>
        <w:tc>
          <w:tcPr>
            <w:tcW w:w="1649" w:type="pct"/>
          </w:tcPr>
          <w:p w14:paraId="639B60DD"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13</w:t>
            </w:r>
          </w:p>
          <w:p w14:paraId="5ADFEA41"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16</w:t>
            </w:r>
          </w:p>
          <w:p w14:paraId="5B2AB600" w14:textId="77777777" w:rsidR="00611F98" w:rsidRPr="001255A8" w:rsidRDefault="00611F98" w:rsidP="00611F98">
            <w:pPr>
              <w:keepNext/>
              <w:autoSpaceDN w:val="0"/>
              <w:spacing w:before="0" w:line="210" w:lineRule="atLeast"/>
              <w:textAlignment w:val="baseline"/>
              <w:cnfStyle w:val="000000000000" w:firstRow="0" w:lastRow="0" w:firstColumn="0" w:lastColumn="0" w:oddVBand="0" w:evenVBand="0" w:oddHBand="0" w:evenHBand="0" w:firstRowFirstColumn="0" w:firstRowLastColumn="0" w:lastRowFirstColumn="0" w:lastRowLastColumn="0"/>
              <w:rPr>
                <w:rFonts w:eastAsia="Arial" w:cs="Arial"/>
                <w:szCs w:val="16"/>
              </w:rPr>
            </w:pPr>
            <w:r w:rsidRPr="001255A8">
              <w:rPr>
                <w:rFonts w:eastAsia="Arial" w:cs="Arial"/>
                <w:szCs w:val="16"/>
              </w:rPr>
              <w:t>Seite 17</w:t>
            </w:r>
          </w:p>
        </w:tc>
      </w:tr>
    </w:tbl>
    <w:p w14:paraId="5DC6B9DC" w14:textId="77777777" w:rsidR="00E24998" w:rsidRPr="00E24998" w:rsidRDefault="00E24998" w:rsidP="00611F98">
      <w:pPr>
        <w:pStyle w:val="Flietext"/>
      </w:pPr>
    </w:p>
    <w:sectPr w:rsidR="00E24998" w:rsidRPr="00E24998" w:rsidSect="001A76C8">
      <w:headerReference w:type="default" r:id="rId15"/>
      <w:footerReference w:type="default" r:id="rId16"/>
      <w:headerReference w:type="first" r:id="rId17"/>
      <w:footerReference w:type="first" r:id="rId18"/>
      <w:pgSz w:w="11906" w:h="16838"/>
      <w:pgMar w:top="1807" w:right="1701" w:bottom="1985" w:left="1701" w:header="42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CBD05" w14:textId="77777777" w:rsidR="00187A43" w:rsidRDefault="00187A43" w:rsidP="00C44581">
      <w:pPr>
        <w:spacing w:after="0" w:line="240" w:lineRule="auto"/>
      </w:pPr>
      <w:r>
        <w:separator/>
      </w:r>
    </w:p>
  </w:endnote>
  <w:endnote w:type="continuationSeparator" w:id="0">
    <w:p w14:paraId="2F82FDE1" w14:textId="77777777" w:rsidR="00187A43" w:rsidRDefault="00187A43" w:rsidP="00C4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8921" w14:textId="77777777" w:rsidR="008C3D0B" w:rsidRPr="004C7BEE" w:rsidRDefault="008C3D0B" w:rsidP="004C7BEE">
    <w:pPr>
      <w:pStyle w:val="Fuzeile"/>
    </w:pPr>
    <w:r w:rsidRPr="00157962">
      <w:rPr>
        <w:noProof/>
        <w:lang w:eastAsia="de-DE"/>
      </w:rPr>
      <mc:AlternateContent>
        <mc:Choice Requires="wps">
          <w:drawing>
            <wp:anchor distT="0" distB="0" distL="114300" distR="114300" simplePos="0" relativeHeight="251679744" behindDoc="0" locked="0" layoutInCell="1" allowOverlap="1" wp14:anchorId="2B189A92" wp14:editId="69EE919A">
              <wp:simplePos x="0" y="0"/>
              <wp:positionH relativeFrom="page">
                <wp:posOffset>0</wp:posOffset>
              </wp:positionH>
              <wp:positionV relativeFrom="paragraph">
                <wp:posOffset>104140</wp:posOffset>
              </wp:positionV>
              <wp:extent cx="10692000" cy="0"/>
              <wp:effectExtent l="0" t="0" r="0" b="0"/>
              <wp:wrapNone/>
              <wp:docPr id="23" name="Gerade Verbindung 23"/>
              <wp:cNvGraphicFramePr/>
              <a:graphic xmlns:a="http://schemas.openxmlformats.org/drawingml/2006/main">
                <a:graphicData uri="http://schemas.microsoft.com/office/word/2010/wordprocessingShape">
                  <wps:wsp>
                    <wps:cNvCnPr/>
                    <wps:spPr>
                      <a:xfrm>
                        <a:off x="0" y="0"/>
                        <a:ext cx="10692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03FAE" id="Gerade Verbindung 23"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8.2pt" to="841.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" strokecolor="#00ace5 [3204]" strokeweight=".5pt">
              <w10:wrap anchorx="page"/>
            </v:line>
          </w:pict>
        </mc:Fallback>
      </mc:AlternateContent>
    </w:r>
    <w:r w:rsidRPr="00157962">
      <w:rPr>
        <w:noProof/>
        <w:lang w:eastAsia="de-DE"/>
      </w:rPr>
      <mc:AlternateContent>
        <mc:Choice Requires="wps">
          <w:drawing>
            <wp:anchor distT="0" distB="0" distL="114300" distR="114300" simplePos="0" relativeHeight="251680768" behindDoc="0" locked="0" layoutInCell="1" allowOverlap="1" wp14:anchorId="0054B47D" wp14:editId="4C9CD655">
              <wp:simplePos x="0" y="0"/>
              <wp:positionH relativeFrom="page">
                <wp:posOffset>0</wp:posOffset>
              </wp:positionH>
              <wp:positionV relativeFrom="paragraph">
                <wp:posOffset>266700</wp:posOffset>
              </wp:positionV>
              <wp:extent cx="10692000" cy="0"/>
              <wp:effectExtent l="0" t="0" r="0" b="0"/>
              <wp:wrapNone/>
              <wp:docPr id="24" name="Gerade Verbindung 24"/>
              <wp:cNvGraphicFramePr/>
              <a:graphic xmlns:a="http://schemas.openxmlformats.org/drawingml/2006/main">
                <a:graphicData uri="http://schemas.microsoft.com/office/word/2010/wordprocessingShape">
                  <wps:wsp>
                    <wps:cNvCnPr/>
                    <wps:spPr>
                      <a:xfrm>
                        <a:off x="0" y="0"/>
                        <a:ext cx="10692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681E07" id="Gerade Verbindung 24" o:spid="_x0000_s1026" style="position:absolute;z-index:2516807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21pt" to="841.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" strokecolor="#00ace5 [3204]" strokeweight=".5pt">
              <w10:wrap anchorx="page"/>
            </v:line>
          </w:pict>
        </mc:Fallback>
      </mc:AlternateContent>
    </w:r>
    <w:r>
      <w:rPr>
        <w:noProof/>
        <w:lang w:eastAsia="de-DE"/>
      </w:rPr>
      <w:drawing>
        <wp:anchor distT="0" distB="0" distL="114300" distR="114300" simplePos="0" relativeHeight="251664384" behindDoc="1" locked="0" layoutInCell="1" allowOverlap="1" wp14:anchorId="37D75A31" wp14:editId="5BABCD76">
          <wp:simplePos x="0" y="0"/>
          <wp:positionH relativeFrom="page">
            <wp:posOffset>1077595</wp:posOffset>
          </wp:positionH>
          <wp:positionV relativeFrom="paragraph">
            <wp:posOffset>140335</wp:posOffset>
          </wp:positionV>
          <wp:extent cx="468000" cy="108000"/>
          <wp:effectExtent l="0" t="0" r="8255" b="635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6-28 gpa_Logo_rgb_13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8000" cy="108000"/>
                  </a:xfrm>
                  <a:prstGeom prst="rect">
                    <a:avLst/>
                  </a:prstGeom>
                </pic:spPr>
              </pic:pic>
            </a:graphicData>
          </a:graphic>
          <wp14:sizeRelH relativeFrom="page">
            <wp14:pctWidth>0</wp14:pctWidth>
          </wp14:sizeRelH>
          <wp14:sizeRelV relativeFrom="page">
            <wp14:pctHeight>0</wp14:pctHeight>
          </wp14:sizeRelV>
        </wp:anchor>
      </w:drawing>
    </w: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4D0E" w14:textId="77777777" w:rsidR="008C3D0B" w:rsidRDefault="008C3D0B" w:rsidP="00D257C7">
    <w:pPr>
      <w:pStyle w:val="Fuzeile"/>
    </w:pPr>
    <w:r>
      <w:rPr>
        <w:noProof/>
        <w:lang w:eastAsia="de-DE"/>
      </w:rPr>
      <mc:AlternateContent>
        <mc:Choice Requires="wps">
          <w:drawing>
            <wp:anchor distT="0" distB="0" distL="114300" distR="114300" simplePos="0" relativeHeight="251677696" behindDoc="0" locked="0" layoutInCell="1" allowOverlap="1" wp14:anchorId="3629849F" wp14:editId="71D19A68">
              <wp:simplePos x="0" y="0"/>
              <wp:positionH relativeFrom="page">
                <wp:posOffset>0</wp:posOffset>
              </wp:positionH>
              <wp:positionV relativeFrom="paragraph">
                <wp:posOffset>104140</wp:posOffset>
              </wp:positionV>
              <wp:extent cx="7559675" cy="0"/>
              <wp:effectExtent l="0" t="0" r="0" b="0"/>
              <wp:wrapNone/>
              <wp:docPr id="10" name="Gerade Verbindung 10"/>
              <wp:cNvGraphicFramePr/>
              <a:graphic xmlns:a="http://schemas.openxmlformats.org/drawingml/2006/main">
                <a:graphicData uri="http://schemas.microsoft.com/office/word/2010/wordprocessingShape">
                  <wps:wsp>
                    <wps:cNvCnPr/>
                    <wps:spPr>
                      <a:xfrm>
                        <a:off x="0" y="0"/>
                        <a:ext cx="755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C8B931" id="Gerade Verbindung 10" o:spid="_x0000_s1026" style="position:absolute;z-index:2516776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8.2pt" to="595.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" strokecolor="#00a2d9 [3044]">
              <w10:wrap anchorx="page"/>
            </v:line>
          </w:pict>
        </mc:Fallback>
      </mc:AlternateContent>
    </w:r>
    <w:r>
      <w:rPr>
        <w:noProof/>
        <w:lang w:eastAsia="de-DE"/>
      </w:rPr>
      <mc:AlternateContent>
        <mc:Choice Requires="wps">
          <w:drawing>
            <wp:anchor distT="0" distB="0" distL="114300" distR="114300" simplePos="0" relativeHeight="251675648" behindDoc="0" locked="0" layoutInCell="1" allowOverlap="1" wp14:anchorId="111D6F09" wp14:editId="31396B6F">
              <wp:simplePos x="0" y="0"/>
              <wp:positionH relativeFrom="page">
                <wp:posOffset>0</wp:posOffset>
              </wp:positionH>
              <wp:positionV relativeFrom="paragraph">
                <wp:posOffset>266065</wp:posOffset>
              </wp:positionV>
              <wp:extent cx="7559675" cy="0"/>
              <wp:effectExtent l="0" t="0" r="0" b="0"/>
              <wp:wrapNone/>
              <wp:docPr id="11" name="Gerade Verbindung 11"/>
              <wp:cNvGraphicFramePr/>
              <a:graphic xmlns:a="http://schemas.openxmlformats.org/drawingml/2006/main">
                <a:graphicData uri="http://schemas.microsoft.com/office/word/2010/wordprocessingShape">
                  <wps:wsp>
                    <wps:cNvCnPr/>
                    <wps:spPr>
                      <a:xfrm>
                        <a:off x="0" y="0"/>
                        <a:ext cx="755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D7C5D9" id="Gerade Verbindung 11" o:spid="_x0000_s1026" style="position:absolute;z-index:2516756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20.95pt" to="595.2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" strokecolor="#00a2d9 [3044]">
              <w10:wrap anchorx="page"/>
            </v:line>
          </w:pict>
        </mc:Fallback>
      </mc:AlternateContent>
    </w:r>
    <w:r>
      <w:rPr>
        <w:noProof/>
        <w:lang w:eastAsia="de-DE"/>
      </w:rPr>
      <w:drawing>
        <wp:anchor distT="0" distB="0" distL="114300" distR="114300" simplePos="0" relativeHeight="251676672" behindDoc="1" locked="0" layoutInCell="1" allowOverlap="1" wp14:anchorId="02DB5FE3" wp14:editId="34FA43C8">
          <wp:simplePos x="0" y="0"/>
          <wp:positionH relativeFrom="page">
            <wp:posOffset>1077595</wp:posOffset>
          </wp:positionH>
          <wp:positionV relativeFrom="paragraph">
            <wp:posOffset>140335</wp:posOffset>
          </wp:positionV>
          <wp:extent cx="467995" cy="107950"/>
          <wp:effectExtent l="0" t="0" r="8255" b="635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6-28 gpa_Logo_rgb_13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107950"/>
                  </a:xfrm>
                  <a:prstGeom prst="rect">
                    <a:avLst/>
                  </a:prstGeom>
                </pic:spPr>
              </pic:pic>
            </a:graphicData>
          </a:graphic>
          <wp14:sizeRelH relativeFrom="page">
            <wp14:pctWidth>0</wp14:pctWidth>
          </wp14:sizeRelH>
          <wp14:sizeRelV relativeFrom="page">
            <wp14:pctHeight>0</wp14:pctHeight>
          </wp14:sizeRelV>
        </wp:anchor>
      </w:drawing>
    </w:r>
    <w:r>
      <w:t xml:space="preserve">Seite </w:t>
    </w:r>
    <w:r>
      <w:fldChar w:fldCharType="begin"/>
    </w:r>
    <w:r>
      <w:instrText xml:space="preserve"> PAGE   \* MERGEFORMAT </w:instrText>
    </w:r>
    <w:r>
      <w:fldChar w:fldCharType="separate"/>
    </w:r>
    <w:r>
      <w:rPr>
        <w:noProof/>
      </w:rPr>
      <w:t>1</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48030" w14:textId="77777777" w:rsidR="00187A43" w:rsidRPr="007E1377" w:rsidRDefault="00187A43" w:rsidP="007E1377">
      <w:pPr>
        <w:pStyle w:val="Fuzeile"/>
        <w:jc w:val="left"/>
      </w:pPr>
    </w:p>
  </w:footnote>
  <w:footnote w:type="continuationSeparator" w:id="0">
    <w:p w14:paraId="320B699A" w14:textId="77777777" w:rsidR="00187A43" w:rsidRDefault="00187A43" w:rsidP="00C44581">
      <w:pPr>
        <w:spacing w:after="0" w:line="240" w:lineRule="auto"/>
      </w:pPr>
      <w:r>
        <w:continuationSeparator/>
      </w:r>
    </w:p>
  </w:footnote>
  <w:footnote w:id="1">
    <w:p w14:paraId="19F43EAE" w14:textId="0E769763" w:rsidR="0002784D" w:rsidRDefault="0002784D">
      <w:pPr>
        <w:pStyle w:val="Funotentext"/>
      </w:pPr>
      <w:r>
        <w:rPr>
          <w:rStyle w:val="Funotenzeichen"/>
        </w:rPr>
        <w:footnoteRef/>
      </w:r>
      <w:r>
        <w:t xml:space="preserve"> </w:t>
      </w:r>
      <w:r w:rsidR="0023173F" w:rsidRPr="00656BAA">
        <w:rPr>
          <w:szCs w:val="14"/>
        </w:rPr>
        <w:t>Haben Sie eine Vergabesatzung erlassen, empfehlen wir, diese hier ergänzend aufzuführen.</w:t>
      </w:r>
    </w:p>
  </w:footnote>
  <w:footnote w:id="2">
    <w:p w14:paraId="40CDEB96" w14:textId="77777777" w:rsidR="000D27FB" w:rsidRDefault="000D27FB" w:rsidP="000D27FB">
      <w:pPr>
        <w:pStyle w:val="Footnote"/>
        <w:spacing w:before="0"/>
        <w:ind w:left="0"/>
      </w:pPr>
      <w:r>
        <w:rPr>
          <w:rStyle w:val="Funotenzeichen"/>
        </w:rPr>
        <w:footnoteRef/>
      </w:r>
      <w:r>
        <w:t xml:space="preserve"> Hierzu zählen auch die freiberuflichen Leistungen.</w:t>
      </w:r>
    </w:p>
  </w:footnote>
  <w:footnote w:id="3">
    <w:p w14:paraId="0BE4F5E0" w14:textId="77777777" w:rsidR="0002784D" w:rsidRDefault="0002784D" w:rsidP="0002784D">
      <w:pPr>
        <w:pStyle w:val="Footnote"/>
        <w:spacing w:before="0"/>
        <w:ind w:left="0"/>
      </w:pPr>
      <w:r>
        <w:rPr>
          <w:rStyle w:val="Funotenzeichen"/>
        </w:rPr>
        <w:footnoteRef/>
      </w:r>
      <w:r>
        <w:t xml:space="preserve"> Freiberufliche Leistungen sind selbständig ausgeübte wissenschaftliche, künstlerische, schriftstellerische, unterrichtende, erzieherische oder sehr ähnlich gelagerte Tätigkeiten (vgl. hierzu § 18 Abs. 1 Einkommensteuergesetz (EStG) und § 1 Gesetz über Partnerschaftsgesellschaften Angehörender Freier Berufe (PartGG)</w:t>
      </w:r>
    </w:p>
    <w:p w14:paraId="269E7DAB" w14:textId="69B938D0" w:rsidR="0002784D" w:rsidRDefault="0002784D">
      <w:pPr>
        <w:pStyle w:val="Funotentext"/>
      </w:pPr>
    </w:p>
  </w:footnote>
  <w:footnote w:id="4">
    <w:p w14:paraId="79556C0E" w14:textId="77777777" w:rsidR="00B65305" w:rsidRDefault="00B65305" w:rsidP="00B65305">
      <w:pPr>
        <w:pStyle w:val="Footnote"/>
        <w:spacing w:before="0"/>
        <w:ind w:left="142" w:hanging="142"/>
      </w:pPr>
      <w:r>
        <w:rPr>
          <w:rStyle w:val="Funotenzeichen"/>
        </w:rPr>
        <w:footnoteRef/>
      </w:r>
      <w:r>
        <w:t xml:space="preserve"> Haben Sie eine Vergabesatzung erlassen, empfehlen wir, diese hier ergänzend aufzuführen.</w:t>
      </w:r>
    </w:p>
  </w:footnote>
  <w:footnote w:id="5">
    <w:p w14:paraId="51933F43" w14:textId="77777777" w:rsidR="00B65305" w:rsidRPr="00037874" w:rsidRDefault="00B65305" w:rsidP="00B65305">
      <w:pPr>
        <w:pStyle w:val="Funotentext"/>
        <w:ind w:left="142" w:hanging="142"/>
        <w:rPr>
          <w:szCs w:val="14"/>
        </w:rPr>
      </w:pPr>
      <w:r w:rsidRPr="00037874">
        <w:rPr>
          <w:rStyle w:val="Funotenzeichen"/>
          <w:szCs w:val="14"/>
        </w:rPr>
        <w:footnoteRef/>
      </w:r>
      <w:r w:rsidRPr="00037874">
        <w:rPr>
          <w:szCs w:val="14"/>
        </w:rPr>
        <w:t xml:space="preserve"> Enthalten die Nebenbestimmungen zum Bewilligungsbescheid eine dynamische Verweisung auf die jeweils geltenden Vergabegrundsätze, ist</w:t>
      </w:r>
      <w:r>
        <w:rPr>
          <w:szCs w:val="14"/>
        </w:rPr>
        <w:t xml:space="preserve"> gemäß der</w:t>
      </w:r>
      <w:r w:rsidRPr="008716EC">
        <w:rPr>
          <w:szCs w:val="14"/>
        </w:rPr>
        <w:t xml:space="preserve"> „FAQ-Liste zu Kommunale Vergaben im Land Nordrhein-Westfalen ab dem 01. Januar 2026“ des </w:t>
      </w:r>
      <w:r>
        <w:rPr>
          <w:szCs w:val="14"/>
        </w:rPr>
        <w:t>MHKBD</w:t>
      </w:r>
      <w:r w:rsidRPr="00037874">
        <w:rPr>
          <w:szCs w:val="14"/>
        </w:rPr>
        <w:t xml:space="preserve"> für damit verbundene Beschaffungen unterhalb des EU-Schwellenwertes die Anwendung des § 75 a GO NRW eröffnet</w:t>
      </w:r>
      <w:r>
        <w:rPr>
          <w:szCs w:val="14"/>
        </w:rPr>
        <w:t>.</w:t>
      </w:r>
    </w:p>
  </w:footnote>
  <w:footnote w:id="6">
    <w:p w14:paraId="148DDBED" w14:textId="77777777" w:rsidR="00380963" w:rsidRPr="00F74409" w:rsidRDefault="00380963" w:rsidP="00380963">
      <w:pPr>
        <w:pStyle w:val="Footnote"/>
        <w:ind w:left="0" w:firstLine="0"/>
        <w:rPr>
          <w:szCs w:val="14"/>
        </w:rPr>
      </w:pPr>
      <w:r>
        <w:rPr>
          <w:rStyle w:val="Funotenzeichen"/>
        </w:rPr>
        <w:footnoteRef/>
      </w:r>
      <w:r>
        <w:t xml:space="preserve"> Verordnung (EU) Nr. 833/2014 über restriktive Maßnahmen angesichts der Handlungen Russlands, die die Lage in der Ukraine destabilisieren, Verordnung (EU) 2022/576 zur Änderung der Verordnung (EU) Nr. 833/2014 und Bekanntmachung des Bundesamtes für Wirt</w:t>
      </w:r>
      <w:r w:rsidRPr="00F74409">
        <w:rPr>
          <w:szCs w:val="14"/>
        </w:rPr>
        <w:t>schaft und Ausfuhrkontrolle (BAFA) der Allgemeinen Genehmigung Nr. 31 (Vergabe öffentlicher Aufträge und Konzessionen</w:t>
      </w:r>
    </w:p>
  </w:footnote>
  <w:footnote w:id="7">
    <w:p w14:paraId="638FD5B8" w14:textId="77777777" w:rsidR="00380963" w:rsidRPr="00F74409" w:rsidRDefault="00380963" w:rsidP="00380963">
      <w:pPr>
        <w:pStyle w:val="Funotentext"/>
        <w:rPr>
          <w:szCs w:val="14"/>
        </w:rPr>
      </w:pPr>
      <w:r w:rsidRPr="00F74409">
        <w:rPr>
          <w:rStyle w:val="Funotenzeichen"/>
          <w:szCs w:val="14"/>
        </w:rPr>
        <w:footnoteRef/>
      </w:r>
      <w:r w:rsidRPr="00F74409">
        <w:rPr>
          <w:szCs w:val="14"/>
        </w:rPr>
        <w:t xml:space="preserve"> Siehe zur generellen Anwendung von VOL/B, VOB/B und/oder VOB/C bei Vergaben unterhalb des EU-Schwellenwertes Buchstabe F der „FAQ-Liste zu Kommunale Vergaben im Land Nordrhein-Westfalen ab dem 01. Januar 2026“ des MHKBD. Danach erfordern derartige Regelungen einen Satzungsbeschluss</w:t>
      </w:r>
    </w:p>
  </w:footnote>
  <w:footnote w:id="8">
    <w:p w14:paraId="13C910B5" w14:textId="77777777" w:rsidR="00AC44D6" w:rsidRPr="00B03AF8" w:rsidRDefault="00AC44D6" w:rsidP="00AC44D6">
      <w:pPr>
        <w:pStyle w:val="Funotentext"/>
        <w:rPr>
          <w:szCs w:val="14"/>
        </w:rPr>
      </w:pPr>
      <w:r>
        <w:rPr>
          <w:rStyle w:val="Funotenzeichen"/>
        </w:rPr>
        <w:footnoteRef/>
      </w:r>
      <w:r>
        <w:t xml:space="preserve"> </w:t>
      </w:r>
      <w:r w:rsidRPr="007731D2">
        <w:rPr>
          <w:szCs w:val="14"/>
        </w:rPr>
        <w:t>Mit Inkrafttreten des Gesetzes zur Vergabebeschleunigung wird die Pflicht zur Abfrage des Wettbewerbsregisters von 30.000 Euro auf</w:t>
      </w:r>
      <w:r w:rsidRPr="00B03AF8">
        <w:rPr>
          <w:szCs w:val="14"/>
        </w:rPr>
        <w:t xml:space="preserve"> 50.000 Euro erhöht. Zudem wird Abs. 2 um einen Passus ergänzt, wonach Auftraggeber das Register im Fall eines Direktauftrags abfragen können.</w:t>
      </w:r>
    </w:p>
    <w:p w14:paraId="665038CF" w14:textId="2392BC08" w:rsidR="00AC44D6" w:rsidRDefault="00AC44D6">
      <w:pPr>
        <w:pStyle w:val="Funotentext"/>
      </w:pPr>
    </w:p>
  </w:footnote>
  <w:footnote w:id="9">
    <w:p w14:paraId="36D9C528" w14:textId="77777777" w:rsidR="00E24998" w:rsidRDefault="00E24998" w:rsidP="00E24998">
      <w:pPr>
        <w:pStyle w:val="Footnote"/>
      </w:pPr>
      <w:r>
        <w:rPr>
          <w:rStyle w:val="Funotenzeichen"/>
        </w:rPr>
        <w:footnoteRef/>
      </w:r>
      <w:r>
        <w:t xml:space="preserve"> Dies sind die EU-Schwellenwerte für die Jahre 2026-2027. Die EU-Schwellenwerte werden alle zwei Jahre neu angepasst.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2155" w14:textId="77777777" w:rsidR="008C3D0B" w:rsidRDefault="008C3D0B">
    <w:pPr>
      <w:pStyle w:val="Kopfzeile"/>
    </w:pPr>
    <w:r>
      <w:rPr>
        <w:color w:val="FF0000"/>
        <w:lang w:eastAsia="de-DE"/>
      </w:rPr>
      <mc:AlternateContent>
        <mc:Choice Requires="wps">
          <w:drawing>
            <wp:anchor distT="0" distB="0" distL="114300" distR="114300" simplePos="0" relativeHeight="251672576" behindDoc="0" locked="0" layoutInCell="1" allowOverlap="1" wp14:anchorId="10566BCD" wp14:editId="5E7250F1">
              <wp:simplePos x="0" y="0"/>
              <wp:positionH relativeFrom="page">
                <wp:posOffset>0</wp:posOffset>
              </wp:positionH>
              <wp:positionV relativeFrom="page">
                <wp:posOffset>270510</wp:posOffset>
              </wp:positionV>
              <wp:extent cx="10693400" cy="0"/>
              <wp:effectExtent l="0" t="0" r="12700" b="19050"/>
              <wp:wrapNone/>
              <wp:docPr id="7" name="Gerade Verbindung 7"/>
              <wp:cNvGraphicFramePr/>
              <a:graphic xmlns:a="http://schemas.openxmlformats.org/drawingml/2006/main">
                <a:graphicData uri="http://schemas.microsoft.com/office/word/2010/wordprocessingShape">
                  <wps:wsp>
                    <wps:cNvCnPr/>
                    <wps:spPr>
                      <a:xfrm>
                        <a:off x="0" y="0"/>
                        <a:ext cx="106934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FF89B" id="Gerade Verbindung 7"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1.3pt" to="84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" strokecolor="#00ace5 [3204]" strokeweight=".5pt">
              <w10:wrap anchorx="page" anchory="page"/>
            </v:line>
          </w:pict>
        </mc:Fallback>
      </mc:AlternateContent>
    </w:r>
    <w:r>
      <w:rPr>
        <w:color w:val="FF0000"/>
        <w:lang w:eastAsia="de-DE"/>
      </w:rPr>
      <mc:AlternateContent>
        <mc:Choice Requires="wps">
          <w:drawing>
            <wp:anchor distT="0" distB="0" distL="114300" distR="114300" simplePos="0" relativeHeight="251673600" behindDoc="0" locked="0" layoutInCell="1" allowOverlap="1" wp14:anchorId="6298139A" wp14:editId="7F34E3EB">
              <wp:simplePos x="0" y="0"/>
              <wp:positionH relativeFrom="page">
                <wp:posOffset>0</wp:posOffset>
              </wp:positionH>
              <wp:positionV relativeFrom="page">
                <wp:posOffset>431800</wp:posOffset>
              </wp:positionV>
              <wp:extent cx="10693400" cy="0"/>
              <wp:effectExtent l="0" t="0" r="12700" b="19050"/>
              <wp:wrapNone/>
              <wp:docPr id="8" name="Gerade Verbindung 8"/>
              <wp:cNvGraphicFramePr/>
              <a:graphic xmlns:a="http://schemas.openxmlformats.org/drawingml/2006/main">
                <a:graphicData uri="http://schemas.microsoft.com/office/word/2010/wordprocessingShape">
                  <wps:wsp>
                    <wps:cNvCnPr/>
                    <wps:spPr>
                      <a:xfrm>
                        <a:off x="0" y="0"/>
                        <a:ext cx="106934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87DE2" id="Gerade Verbindung 8" o:spid="_x0000_s1026"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34pt" to="8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" strokecolor="#00ace5 [3204]" strokeweight=".5pt">
              <w10:wrap anchorx="page" anchory="page"/>
            </v:line>
          </w:pict>
        </mc:Fallback>
      </mc:AlternateContent>
    </w:r>
    <w:r w:rsidRPr="00C44581">
      <w:rPr>
        <w:color w:val="FF0000"/>
      </w:rPr>
      <w:sym w:font="Wingdings 3" w:char="F096"/>
    </w:r>
    <w:r>
      <w:rPr>
        <w:color w:val="FF0000"/>
      </w:rPr>
      <w:t xml:space="preserve">  </w:t>
    </w:r>
    <w:sdt>
      <w:sdtPr>
        <w:alias w:val="Vermerkinformation"/>
        <w:tag w:val="Vermerkinformation"/>
        <w:id w:val="842900628"/>
        <w:lock w:val="sdtLocked"/>
        <w:text/>
      </w:sdtPr>
      <w:sdtEndPr/>
      <w:sdtContent>
        <w:r w:rsidR="003170C2">
          <w:t>Muster für eine Vergabedienstanweisung</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FFA1" w14:textId="77777777" w:rsidR="008C3D0B" w:rsidRDefault="008C3D0B">
    <w:pPr>
      <w:pStyle w:val="Kopfzeile"/>
    </w:pPr>
    <w:r>
      <w:rPr>
        <w:color w:val="FF0000"/>
        <w:lang w:eastAsia="de-DE"/>
      </w:rPr>
      <mc:AlternateContent>
        <mc:Choice Requires="wps">
          <w:drawing>
            <wp:anchor distT="0" distB="0" distL="114300" distR="114300" simplePos="0" relativeHeight="251668480" behindDoc="0" locked="0" layoutInCell="1" allowOverlap="1" wp14:anchorId="68F60287" wp14:editId="40CBED01">
              <wp:simplePos x="0" y="0"/>
              <wp:positionH relativeFrom="page">
                <wp:posOffset>0</wp:posOffset>
              </wp:positionH>
              <wp:positionV relativeFrom="page">
                <wp:posOffset>269875</wp:posOffset>
              </wp:positionV>
              <wp:extent cx="7560000" cy="7200"/>
              <wp:effectExtent l="0" t="0" r="22225" b="31115"/>
              <wp:wrapNone/>
              <wp:docPr id="1" name="Gerade Verbindung 1"/>
              <wp:cNvGraphicFramePr/>
              <a:graphic xmlns:a="http://schemas.openxmlformats.org/drawingml/2006/main">
                <a:graphicData uri="http://schemas.microsoft.com/office/word/2010/wordprocessingShape">
                  <wps:wsp>
                    <wps:cNvCnPr/>
                    <wps:spPr>
                      <a:xfrm>
                        <a:off x="0" y="0"/>
                        <a:ext cx="7560000" cy="720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2F0B3" id="Gerade Verbindung 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1.25pt" to="595.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" strokecolor="#00ace5 [3204]" strokeweight=".5pt">
              <w10:wrap anchorx="page" anchory="page"/>
            </v:line>
          </w:pict>
        </mc:Fallback>
      </mc:AlternateContent>
    </w:r>
    <w:r>
      <w:rPr>
        <w:color w:val="FF0000"/>
        <w:lang w:eastAsia="de-DE"/>
      </w:rPr>
      <mc:AlternateContent>
        <mc:Choice Requires="wps">
          <w:drawing>
            <wp:anchor distT="0" distB="0" distL="114300" distR="114300" simplePos="0" relativeHeight="251669504" behindDoc="0" locked="0" layoutInCell="1" allowOverlap="1" wp14:anchorId="6A5011C8" wp14:editId="1CC71E5E">
              <wp:simplePos x="0" y="0"/>
              <wp:positionH relativeFrom="page">
                <wp:posOffset>0</wp:posOffset>
              </wp:positionH>
              <wp:positionV relativeFrom="page">
                <wp:posOffset>431800</wp:posOffset>
              </wp:positionV>
              <wp:extent cx="7560000" cy="0"/>
              <wp:effectExtent l="0" t="0" r="22225" b="19050"/>
              <wp:wrapNone/>
              <wp:docPr id="2" name="Gerade Verbindung 2"/>
              <wp:cNvGraphicFramePr/>
              <a:graphic xmlns:a="http://schemas.openxmlformats.org/drawingml/2006/main">
                <a:graphicData uri="http://schemas.microsoft.com/office/word/2010/wordprocessingShape">
                  <wps:wsp>
                    <wps:cNvCnPr/>
                    <wps:spPr>
                      <a:xfrm>
                        <a:off x="0" y="0"/>
                        <a:ext cx="7560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822E18" id="Gerade Verbindung 2"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34pt" to="595.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" strokecolor="#00ace5 [3204]" strokeweight=".5pt">
              <w10:wrap anchorx="page" anchory="page"/>
            </v:line>
          </w:pict>
        </mc:Fallback>
      </mc:AlternateContent>
    </w:r>
    <w:r w:rsidRPr="00C44581">
      <w:rPr>
        <w:color w:val="FF0000"/>
      </w:rPr>
      <w:sym w:font="Wingdings 3" w:char="F096"/>
    </w:r>
    <w:r>
      <w:rPr>
        <w:color w:val="FF0000"/>
      </w:rPr>
      <w:t xml:space="preserve">  </w:t>
    </w:r>
    <w:r>
      <w:rPr>
        <w:lang w:eastAsia="de-DE"/>
      </w:rPr>
      <w:drawing>
        <wp:anchor distT="0" distB="0" distL="114300" distR="114300" simplePos="0" relativeHeight="251670528" behindDoc="1" locked="0" layoutInCell="1" allowOverlap="1" wp14:anchorId="1DE4C787" wp14:editId="6CC7558A">
          <wp:simplePos x="0" y="0"/>
          <wp:positionH relativeFrom="rightMargin">
            <wp:posOffset>-1350010</wp:posOffset>
          </wp:positionH>
          <wp:positionV relativeFrom="page">
            <wp:posOffset>810260</wp:posOffset>
          </wp:positionV>
          <wp:extent cx="1980000" cy="457200"/>
          <wp:effectExtent l="0" t="0" r="127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6-28 gpa_Logo_rgb_6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57200"/>
                  </a:xfrm>
                  <a:prstGeom prst="rect">
                    <a:avLst/>
                  </a:prstGeom>
                </pic:spPr>
              </pic:pic>
            </a:graphicData>
          </a:graphic>
          <wp14:sizeRelH relativeFrom="page">
            <wp14:pctWidth>0</wp14:pctWidth>
          </wp14:sizeRelH>
          <wp14:sizeRelV relativeFrom="page">
            <wp14:pctHeight>0</wp14:pctHeight>
          </wp14:sizeRelV>
        </wp:anchor>
      </w:drawing>
    </w:r>
    <w:sdt>
      <w:sdtPr>
        <w:alias w:val="Vermerkinformation"/>
        <w:tag w:val="Vermerkinformation"/>
        <w:id w:val="1795864969"/>
        <w:lock w:val="sdtLocked"/>
        <w:text/>
      </w:sdtPr>
      <w:sdtEndPr/>
      <w:sdtContent>
        <w:r w:rsidR="003170C2">
          <w:t>Muster für eine Vergabedienstanweisung</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E07F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02B6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4E4B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8491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C61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F60E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EC59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2254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44B9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806E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06D54"/>
    <w:multiLevelType w:val="multilevel"/>
    <w:tmpl w:val="DFDA69AA"/>
    <w:styleLink w:val="WWNum10"/>
    <w:lvl w:ilvl="0">
      <w:start w:val="1"/>
      <w:numFmt w:val="decimal"/>
      <w:lvlText w:val="%1."/>
      <w:lvlJc w:val="left"/>
      <w:pPr>
        <w:ind w:left="1021" w:hanging="681"/>
      </w:pPr>
      <w:rPr>
        <w:b/>
      </w:rPr>
    </w:lvl>
    <w:lvl w:ilvl="1">
      <w:start w:val="1"/>
      <w:numFmt w:val="decimal"/>
      <w:lvlText w:val="%1.%2"/>
      <w:lvlJc w:val="left"/>
      <w:pPr>
        <w:ind w:left="595" w:hanging="595"/>
      </w:pPr>
      <w:rPr>
        <w:b w:val="0"/>
        <w:color w:val="auto"/>
        <w:sz w:val="20"/>
        <w:szCs w:val="20"/>
      </w:rPr>
    </w:lvl>
    <w:lvl w:ilvl="2">
      <w:start w:val="1"/>
      <w:numFmt w:val="decimal"/>
      <w:lvlText w:val="%1.%2.%3"/>
      <w:lvlJc w:val="left"/>
      <w:pPr>
        <w:ind w:left="1080" w:hanging="720"/>
      </w:pPr>
      <w:rPr>
        <w:b w:val="0"/>
      </w:rPr>
    </w:lvl>
    <w:lvl w:ilvl="3">
      <w:start w:val="1"/>
      <w:numFmt w:val="decimal"/>
      <w:lvlText w:val="%1.%2.%3.%4"/>
      <w:lvlJc w:val="left"/>
      <w:pPr>
        <w:ind w:left="1080" w:hanging="720"/>
      </w:pPr>
      <w:rPr>
        <w:sz w:val="20"/>
        <w:szCs w:val="2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03AB718B"/>
    <w:multiLevelType w:val="multilevel"/>
    <w:tmpl w:val="1E1EB8B8"/>
    <w:lvl w:ilvl="0">
      <w:start w:val="1"/>
      <w:numFmt w:val="bullet"/>
      <w:pStyle w:val="FlietextAufzhlung"/>
      <w:lvlText w:val=""/>
      <w:lvlJc w:val="left"/>
      <w:pPr>
        <w:ind w:left="567" w:hanging="283"/>
      </w:pPr>
      <w:rPr>
        <w:rFonts w:ascii="Symbol" w:hAnsi="Symbol" w:hint="default"/>
        <w:b w:val="0"/>
        <w:i w:val="0"/>
        <w:color w:val="E95F47" w:themeColor="accent3"/>
        <w:sz w:val="20"/>
      </w:rPr>
    </w:lvl>
    <w:lvl w:ilvl="1">
      <w:start w:val="1"/>
      <w:numFmt w:val="bullet"/>
      <w:lvlText w:val=""/>
      <w:lvlJc w:val="left"/>
      <w:pPr>
        <w:ind w:left="1134" w:hanging="283"/>
      </w:pPr>
      <w:rPr>
        <w:rFonts w:ascii="Symbol" w:hAnsi="Symbol" w:hint="default"/>
        <w:color w:val="E95F47" w:themeColor="accent3"/>
      </w:rPr>
    </w:lvl>
    <w:lvl w:ilvl="2">
      <w:start w:val="1"/>
      <w:numFmt w:val="bullet"/>
      <w:lvlText w:val=""/>
      <w:lvlJc w:val="left"/>
      <w:pPr>
        <w:ind w:left="1701" w:hanging="283"/>
      </w:pPr>
      <w:rPr>
        <w:rFonts w:ascii="Symbol" w:hAnsi="Symbol" w:hint="default"/>
        <w:color w:val="E95F47" w:themeColor="accent3"/>
      </w:rPr>
    </w:lvl>
    <w:lvl w:ilvl="3">
      <w:start w:val="1"/>
      <w:numFmt w:val="bullet"/>
      <w:lvlText w:val=""/>
      <w:lvlJc w:val="left"/>
      <w:pPr>
        <w:ind w:left="2268" w:hanging="283"/>
      </w:pPr>
      <w:rPr>
        <w:rFonts w:ascii="Symbol" w:hAnsi="Symbol" w:hint="default"/>
        <w:color w:val="E95F47" w:themeColor="accent3"/>
      </w:rPr>
    </w:lvl>
    <w:lvl w:ilvl="4">
      <w:start w:val="1"/>
      <w:numFmt w:val="bullet"/>
      <w:lvlText w:val=""/>
      <w:lvlJc w:val="left"/>
      <w:pPr>
        <w:ind w:left="2835" w:hanging="283"/>
      </w:pPr>
      <w:rPr>
        <w:rFonts w:ascii="Symbol" w:hAnsi="Symbol" w:hint="default"/>
        <w:color w:val="E95F47" w:themeColor="accent3"/>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12" w15:restartNumberingAfterBreak="0">
    <w:nsid w:val="063142E0"/>
    <w:multiLevelType w:val="multilevel"/>
    <w:tmpl w:val="421236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B64243A"/>
    <w:multiLevelType w:val="multilevel"/>
    <w:tmpl w:val="FA1CC306"/>
    <w:styleLink w:val="WWNum11"/>
    <w:lvl w:ilvl="0">
      <w:numFmt w:val="bullet"/>
      <w:lvlText w:val=""/>
      <w:lvlJc w:val="left"/>
      <w:pPr>
        <w:ind w:left="720" w:hanging="360"/>
      </w:pPr>
      <w:rPr>
        <w:rFonts w:ascii="Wingdings 2" w:hAnsi="Wingdings 2"/>
        <w:b w:val="0"/>
        <w:i w:val="0"/>
        <w:color w:val="E95F47"/>
        <w:sz w:val="40"/>
      </w:rPr>
    </w:lvl>
    <w:lvl w:ilvl="1">
      <w:numFmt w:val="bullet"/>
      <w:lvlText w:val=""/>
      <w:lvlJc w:val="center"/>
      <w:pPr>
        <w:ind w:left="1440" w:hanging="360"/>
      </w:pPr>
      <w:rPr>
        <w:rFonts w:ascii="Wingdings 2" w:hAnsi="Wingdings 2"/>
        <w:b w:val="0"/>
        <w:i w:val="0"/>
        <w:color w:val="E95F47"/>
        <w:sz w:val="4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14" w15:restartNumberingAfterBreak="0">
    <w:nsid w:val="0D7C0B75"/>
    <w:multiLevelType w:val="multilevel"/>
    <w:tmpl w:val="C9125C44"/>
    <w:numStyleLink w:val="Prfbericht-Liste"/>
  </w:abstractNum>
  <w:abstractNum w:abstractNumId="15" w15:restartNumberingAfterBreak="0">
    <w:nsid w:val="11D41E82"/>
    <w:multiLevelType w:val="hybridMultilevel"/>
    <w:tmpl w:val="4A029BF0"/>
    <w:lvl w:ilvl="0" w:tplc="EE10858E">
      <w:start w:val="1"/>
      <w:numFmt w:val="bullet"/>
      <w:pStyle w:val="Feststellungqualifiziert"/>
      <w:lvlText w:val=""/>
      <w:lvlJc w:val="left"/>
      <w:pPr>
        <w:ind w:left="644" w:hanging="360"/>
      </w:pPr>
      <w:rPr>
        <w:rFonts w:ascii="Wingdings 3" w:hAnsi="Wingdings 3" w:hint="default"/>
        <w:b w:val="0"/>
        <w:i w:val="0"/>
        <w:color w:val="E95F47" w:themeColor="accent3"/>
        <w:sz w:val="20"/>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6" w15:restartNumberingAfterBreak="0">
    <w:nsid w:val="139A354E"/>
    <w:multiLevelType w:val="hybridMultilevel"/>
    <w:tmpl w:val="59A46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F77570B"/>
    <w:multiLevelType w:val="multilevel"/>
    <w:tmpl w:val="C9125C44"/>
    <w:numStyleLink w:val="Prfbericht-Liste"/>
  </w:abstractNum>
  <w:abstractNum w:abstractNumId="18" w15:restartNumberingAfterBreak="0">
    <w:nsid w:val="207439CE"/>
    <w:multiLevelType w:val="hybridMultilevel"/>
    <w:tmpl w:val="9872ED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0CF4F4A"/>
    <w:multiLevelType w:val="multilevel"/>
    <w:tmpl w:val="5ADACC06"/>
    <w:lvl w:ilvl="0">
      <w:start w:val="1"/>
      <w:numFmt w:val="decimal"/>
      <w:pStyle w:val="berschrift1"/>
      <w:lvlText w:val="%1."/>
      <w:lvlJc w:val="left"/>
      <w:pPr>
        <w:ind w:left="1134" w:hanging="1134"/>
      </w:pPr>
      <w:rPr>
        <w:rFonts w:hint="default"/>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25270ECE"/>
    <w:multiLevelType w:val="multilevel"/>
    <w:tmpl w:val="F228AD0E"/>
    <w:lvl w:ilvl="0">
      <w:start w:val="1"/>
      <w:numFmt w:val="bullet"/>
      <w:lvlText w:val=""/>
      <w:lvlJc w:val="left"/>
      <w:pPr>
        <w:ind w:left="360" w:hanging="360"/>
      </w:pPr>
      <w:rPr>
        <w:rFonts w:ascii="Symbol" w:hAnsi="Symbol" w:hint="default"/>
        <w:b w:val="0"/>
        <w:i w:val="0"/>
        <w:color w:val="E95F47" w:themeColor="accent3"/>
        <w:sz w:val="20"/>
      </w:rPr>
    </w:lvl>
    <w:lvl w:ilvl="1">
      <w:start w:val="1"/>
      <w:numFmt w:val="bullet"/>
      <w:lvlText w:val=""/>
      <w:lvlJc w:val="left"/>
      <w:pPr>
        <w:tabs>
          <w:tab w:val="num" w:pos="850"/>
        </w:tabs>
        <w:ind w:left="850" w:hanging="283"/>
      </w:pPr>
      <w:rPr>
        <w:rFonts w:ascii="Symbol" w:hAnsi="Symbol" w:hint="default"/>
        <w:color w:val="E95F47" w:themeColor="accent3"/>
      </w:rPr>
    </w:lvl>
    <w:lvl w:ilvl="2">
      <w:start w:val="1"/>
      <w:numFmt w:val="bullet"/>
      <w:lvlText w:val=""/>
      <w:lvlJc w:val="left"/>
      <w:pPr>
        <w:ind w:left="1876" w:hanging="360"/>
      </w:pPr>
      <w:rPr>
        <w:rFonts w:ascii="Wingdings" w:hAnsi="Wingdings" w:hint="default"/>
      </w:rPr>
    </w:lvl>
    <w:lvl w:ilvl="3">
      <w:start w:val="1"/>
      <w:numFmt w:val="bullet"/>
      <w:lvlText w:val=""/>
      <w:lvlJc w:val="left"/>
      <w:pPr>
        <w:ind w:left="2596" w:hanging="360"/>
      </w:pPr>
      <w:rPr>
        <w:rFonts w:ascii="Symbol" w:hAnsi="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hint="default"/>
      </w:rPr>
    </w:lvl>
    <w:lvl w:ilvl="6">
      <w:start w:val="1"/>
      <w:numFmt w:val="bullet"/>
      <w:lvlText w:val=""/>
      <w:lvlJc w:val="left"/>
      <w:pPr>
        <w:ind w:left="4756" w:hanging="360"/>
      </w:pPr>
      <w:rPr>
        <w:rFonts w:ascii="Symbol" w:hAnsi="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hint="default"/>
      </w:rPr>
    </w:lvl>
  </w:abstractNum>
  <w:abstractNum w:abstractNumId="21" w15:restartNumberingAfterBreak="0">
    <w:nsid w:val="25D21676"/>
    <w:multiLevelType w:val="multilevel"/>
    <w:tmpl w:val="C9125C44"/>
    <w:numStyleLink w:val="Prfbericht-Liste"/>
  </w:abstractNum>
  <w:abstractNum w:abstractNumId="22" w15:restartNumberingAfterBreak="0">
    <w:nsid w:val="2FAC0D89"/>
    <w:multiLevelType w:val="multilevel"/>
    <w:tmpl w:val="421236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3" w15:restartNumberingAfterBreak="0">
    <w:nsid w:val="3A4A653E"/>
    <w:multiLevelType w:val="hybridMultilevel"/>
    <w:tmpl w:val="55762248"/>
    <w:lvl w:ilvl="0" w:tplc="B3CC0EFC">
      <w:start w:val="1"/>
      <w:numFmt w:val="bullet"/>
      <w:pStyle w:val="Entwurf"/>
      <w:lvlText w:val=""/>
      <w:lvlJc w:val="left"/>
      <w:pPr>
        <w:ind w:left="2988" w:hanging="360"/>
      </w:pPr>
      <w:rPr>
        <w:rFonts w:ascii="Wingdings 3" w:hAnsi="Wingdings 3" w:hint="default"/>
        <w:b w:val="0"/>
        <w:i w:val="0"/>
        <w:color w:val="E95F47" w:themeColor="accent3"/>
        <w:sz w:val="40"/>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24" w15:restartNumberingAfterBreak="0">
    <w:nsid w:val="3B137D92"/>
    <w:multiLevelType w:val="multilevel"/>
    <w:tmpl w:val="50CE49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5" w15:restartNumberingAfterBreak="0">
    <w:nsid w:val="3B8234F3"/>
    <w:multiLevelType w:val="multilevel"/>
    <w:tmpl w:val="31D4DC70"/>
    <w:styleLink w:val="WWNum2"/>
    <w:lvl w:ilvl="0">
      <w:numFmt w:val="bullet"/>
      <w:lvlText w:val=""/>
      <w:lvlJc w:val="left"/>
      <w:pPr>
        <w:ind w:left="360" w:hanging="360"/>
      </w:pPr>
      <w:rPr>
        <w:rFonts w:ascii="Wingdings 3" w:hAnsi="Wingdings 3"/>
        <w:b w:val="0"/>
        <w:i w:val="0"/>
        <w:color w:val="E95F47"/>
        <w:sz w:val="20"/>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26" w15:restartNumberingAfterBreak="0">
    <w:nsid w:val="3FA55050"/>
    <w:multiLevelType w:val="hybridMultilevel"/>
    <w:tmpl w:val="5D0646F2"/>
    <w:lvl w:ilvl="0" w:tplc="8DBCE074">
      <w:start w:val="1"/>
      <w:numFmt w:val="bullet"/>
      <w:lvlText w:val=""/>
      <w:lvlJc w:val="left"/>
      <w:pPr>
        <w:ind w:left="720" w:hanging="360"/>
      </w:pPr>
      <w:rPr>
        <w:rFonts w:ascii="Wingdings" w:hAnsi="Wingdings" w:hint="default"/>
        <w:b w:val="0"/>
        <w:i w:val="0"/>
        <w:color w:val="FF0000"/>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15141A"/>
    <w:multiLevelType w:val="multilevel"/>
    <w:tmpl w:val="CAACDA02"/>
    <w:styleLink w:val="WWNum1"/>
    <w:lvl w:ilvl="0">
      <w:numFmt w:val="bullet"/>
      <w:pStyle w:val="KIWI-Bewertung"/>
      <w:lvlText w:val=""/>
      <w:lvlJc w:val="left"/>
      <w:pPr>
        <w:ind w:left="-207" w:hanging="360"/>
      </w:pPr>
      <w:rPr>
        <w:rFonts w:ascii="Wingdings 3" w:hAnsi="Wingdings 3"/>
        <w:b w:val="0"/>
        <w:i w:val="0"/>
        <w:color w:val="E95F47"/>
        <w:sz w:val="40"/>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28" w15:restartNumberingAfterBreak="0">
    <w:nsid w:val="5C0E46DB"/>
    <w:multiLevelType w:val="hybridMultilevel"/>
    <w:tmpl w:val="3F9EE1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D140A71"/>
    <w:multiLevelType w:val="multilevel"/>
    <w:tmpl w:val="C9125C44"/>
    <w:numStyleLink w:val="Prfbericht-Liste"/>
  </w:abstractNum>
  <w:abstractNum w:abstractNumId="30" w15:restartNumberingAfterBreak="0">
    <w:nsid w:val="642518D5"/>
    <w:multiLevelType w:val="hybridMultilevel"/>
    <w:tmpl w:val="97365700"/>
    <w:lvl w:ilvl="0" w:tplc="799825FC">
      <w:start w:val="1"/>
      <w:numFmt w:val="bullet"/>
      <w:pStyle w:val="FeststellungEmpfehlung"/>
      <w:lvlText w:val=""/>
      <w:lvlJc w:val="left"/>
      <w:pPr>
        <w:ind w:left="360" w:hanging="360"/>
      </w:pPr>
      <w:rPr>
        <w:rFonts w:ascii="Wingdings 3" w:hAnsi="Wingdings 3" w:hint="default"/>
        <w:b w:val="0"/>
        <w:i w:val="0"/>
        <w:color w:val="E95F47" w:themeColor="accent3"/>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4D62F6A"/>
    <w:multiLevelType w:val="multilevel"/>
    <w:tmpl w:val="421236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2" w15:restartNumberingAfterBreak="0">
    <w:nsid w:val="68ED0890"/>
    <w:multiLevelType w:val="hybridMultilevel"/>
    <w:tmpl w:val="46A490BC"/>
    <w:lvl w:ilvl="0" w:tplc="1CAA28BA">
      <w:start w:val="1"/>
      <w:numFmt w:val="bullet"/>
      <w:pStyle w:val="Absender"/>
      <w:lvlText w:val=""/>
      <w:lvlJc w:val="left"/>
      <w:pPr>
        <w:ind w:left="720" w:hanging="360"/>
      </w:pPr>
      <w:rPr>
        <w:rFonts w:ascii="Wingdings 3" w:hAnsi="Wingdings 3" w:hint="default"/>
        <w:b w:val="0"/>
        <w:i w:val="0"/>
        <w:color w:val="E95F47" w:themeColor="accent3"/>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B685023"/>
    <w:multiLevelType w:val="multilevel"/>
    <w:tmpl w:val="C9125C44"/>
    <w:styleLink w:val="Prfbericht-List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4" w15:restartNumberingAfterBreak="0">
    <w:nsid w:val="6E9108E7"/>
    <w:multiLevelType w:val="multilevel"/>
    <w:tmpl w:val="91C80C10"/>
    <w:styleLink w:val="WWNum36"/>
    <w:lvl w:ilvl="0">
      <w:numFmt w:val="bullet"/>
      <w:lvlText w:val=""/>
      <w:lvlJc w:val="left"/>
      <w:pPr>
        <w:ind w:left="720" w:hanging="360"/>
      </w:pPr>
      <w:rPr>
        <w:rFonts w:ascii="Symbol" w:hAnsi="Symbol"/>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35" w15:restartNumberingAfterBreak="0">
    <w:nsid w:val="73EA2E39"/>
    <w:multiLevelType w:val="multilevel"/>
    <w:tmpl w:val="879A9DEE"/>
    <w:lvl w:ilvl="0">
      <w:start w:val="1"/>
      <w:numFmt w:val="bullet"/>
      <w:lvlText w:val=""/>
      <w:lvlJc w:val="left"/>
      <w:pPr>
        <w:ind w:left="4052" w:hanging="360"/>
      </w:pPr>
      <w:rPr>
        <w:rFonts w:ascii="Symbol" w:hAnsi="Symbol" w:hint="default"/>
        <w:b w:val="0"/>
        <w:i w:val="0"/>
        <w:color w:val="E95F47" w:themeColor="accent3"/>
        <w:sz w:val="20"/>
      </w:rPr>
    </w:lvl>
    <w:lvl w:ilvl="1">
      <w:start w:val="1"/>
      <w:numFmt w:val="bullet"/>
      <w:lvlText w:val=""/>
      <w:lvlJc w:val="left"/>
      <w:pPr>
        <w:tabs>
          <w:tab w:val="num" w:pos="4542"/>
        </w:tabs>
        <w:ind w:left="4542" w:hanging="283"/>
      </w:pPr>
      <w:rPr>
        <w:rFonts w:ascii="Symbol" w:hAnsi="Symbol" w:hint="default"/>
        <w:color w:val="E95F47" w:themeColor="accent3"/>
      </w:rPr>
    </w:lvl>
    <w:lvl w:ilvl="2">
      <w:start w:val="1"/>
      <w:numFmt w:val="bullet"/>
      <w:lvlText w:val=""/>
      <w:lvlJc w:val="left"/>
      <w:pPr>
        <w:tabs>
          <w:tab w:val="num" w:pos="5110"/>
        </w:tabs>
        <w:ind w:left="5110" w:hanging="284"/>
      </w:pPr>
      <w:rPr>
        <w:rFonts w:ascii="Symbol" w:hAnsi="Symbol" w:hint="default"/>
        <w:color w:val="E95F47" w:themeColor="accent3"/>
      </w:rPr>
    </w:lvl>
    <w:lvl w:ilvl="3">
      <w:start w:val="1"/>
      <w:numFmt w:val="bullet"/>
      <w:lvlText w:val=""/>
      <w:lvlJc w:val="left"/>
      <w:pPr>
        <w:tabs>
          <w:tab w:val="num" w:pos="5677"/>
        </w:tabs>
        <w:ind w:left="5677" w:hanging="284"/>
      </w:pPr>
      <w:rPr>
        <w:rFonts w:ascii="Symbol" w:hAnsi="Symbol" w:hint="default"/>
        <w:color w:val="E95F47" w:themeColor="accent3"/>
      </w:rPr>
    </w:lvl>
    <w:lvl w:ilvl="4">
      <w:start w:val="1"/>
      <w:numFmt w:val="bullet"/>
      <w:lvlText w:val=""/>
      <w:lvlJc w:val="left"/>
      <w:pPr>
        <w:tabs>
          <w:tab w:val="num" w:pos="6244"/>
        </w:tabs>
        <w:ind w:left="6244" w:hanging="284"/>
      </w:pPr>
      <w:rPr>
        <w:rFonts w:ascii="Symbol" w:hAnsi="Symbol" w:hint="default"/>
        <w:color w:val="E95F47" w:themeColor="accent3"/>
      </w:rPr>
    </w:lvl>
    <w:lvl w:ilvl="5">
      <w:start w:val="1"/>
      <w:numFmt w:val="bullet"/>
      <w:lvlText w:val=""/>
      <w:lvlJc w:val="left"/>
      <w:pPr>
        <w:ind w:left="7728" w:hanging="360"/>
      </w:pPr>
      <w:rPr>
        <w:rFonts w:ascii="Wingdings" w:hAnsi="Wingdings" w:hint="default"/>
      </w:rPr>
    </w:lvl>
    <w:lvl w:ilvl="6">
      <w:start w:val="1"/>
      <w:numFmt w:val="bullet"/>
      <w:lvlText w:val=""/>
      <w:lvlJc w:val="left"/>
      <w:pPr>
        <w:ind w:left="8448" w:hanging="360"/>
      </w:pPr>
      <w:rPr>
        <w:rFonts w:ascii="Symbol" w:hAnsi="Symbol" w:hint="default"/>
      </w:rPr>
    </w:lvl>
    <w:lvl w:ilvl="7">
      <w:start w:val="1"/>
      <w:numFmt w:val="bullet"/>
      <w:lvlText w:val="o"/>
      <w:lvlJc w:val="left"/>
      <w:pPr>
        <w:ind w:left="9168" w:hanging="360"/>
      </w:pPr>
      <w:rPr>
        <w:rFonts w:ascii="Courier New" w:hAnsi="Courier New" w:cs="Courier New" w:hint="default"/>
      </w:rPr>
    </w:lvl>
    <w:lvl w:ilvl="8">
      <w:start w:val="1"/>
      <w:numFmt w:val="bullet"/>
      <w:lvlText w:val=""/>
      <w:lvlJc w:val="left"/>
      <w:pPr>
        <w:ind w:left="9888" w:hanging="360"/>
      </w:pPr>
      <w:rPr>
        <w:rFonts w:ascii="Wingdings" w:hAnsi="Wingdings" w:hint="default"/>
      </w:rPr>
    </w:lvl>
  </w:abstractNum>
  <w:abstractNum w:abstractNumId="36" w15:restartNumberingAfterBreak="0">
    <w:nsid w:val="76531FA2"/>
    <w:multiLevelType w:val="multilevel"/>
    <w:tmpl w:val="81307C04"/>
    <w:styleLink w:val="WWNum34"/>
    <w:lvl w:ilvl="0">
      <w:numFmt w:val="bullet"/>
      <w:lvlText w:val=""/>
      <w:lvlJc w:val="left"/>
      <w:pPr>
        <w:ind w:left="850" w:hanging="283"/>
      </w:pPr>
      <w:rPr>
        <w:rFonts w:ascii="Symbol" w:hAnsi="Symbol"/>
        <w:b w:val="0"/>
        <w:i w:val="0"/>
        <w:color w:val="E95F47"/>
        <w:sz w:val="20"/>
      </w:rPr>
    </w:lvl>
    <w:lvl w:ilvl="1">
      <w:numFmt w:val="bullet"/>
      <w:lvlText w:val=""/>
      <w:lvlJc w:val="left"/>
      <w:pPr>
        <w:ind w:left="1417" w:hanging="283"/>
      </w:pPr>
      <w:rPr>
        <w:rFonts w:ascii="Symbol" w:hAnsi="Symbol"/>
        <w:color w:val="E95F47"/>
      </w:rPr>
    </w:lvl>
    <w:lvl w:ilvl="2">
      <w:numFmt w:val="bullet"/>
      <w:lvlText w:val=""/>
      <w:lvlJc w:val="left"/>
      <w:pPr>
        <w:ind w:left="1984" w:hanging="283"/>
      </w:pPr>
      <w:rPr>
        <w:rFonts w:ascii="Symbol" w:hAnsi="Symbol"/>
        <w:color w:val="E95F47"/>
      </w:rPr>
    </w:lvl>
    <w:lvl w:ilvl="3">
      <w:numFmt w:val="bullet"/>
      <w:lvlText w:val=""/>
      <w:lvlJc w:val="left"/>
      <w:pPr>
        <w:ind w:left="2551" w:hanging="283"/>
      </w:pPr>
      <w:rPr>
        <w:rFonts w:ascii="Symbol" w:hAnsi="Symbol"/>
        <w:color w:val="E95F47"/>
      </w:rPr>
    </w:lvl>
    <w:lvl w:ilvl="4">
      <w:numFmt w:val="bullet"/>
      <w:lvlText w:val=""/>
      <w:lvlJc w:val="left"/>
      <w:pPr>
        <w:ind w:left="3118" w:hanging="283"/>
      </w:pPr>
      <w:rPr>
        <w:rFonts w:ascii="Symbol" w:hAnsi="Symbol"/>
        <w:color w:val="E95F47"/>
      </w:rPr>
    </w:lvl>
    <w:lvl w:ilvl="5">
      <w:numFmt w:val="bullet"/>
      <w:lvlText w:val=""/>
      <w:lvlJc w:val="left"/>
      <w:pPr>
        <w:ind w:left="3685" w:hanging="283"/>
      </w:pPr>
      <w:rPr>
        <w:rFonts w:ascii="Wingdings" w:hAnsi="Wingdings"/>
      </w:rPr>
    </w:lvl>
    <w:lvl w:ilvl="6">
      <w:numFmt w:val="bullet"/>
      <w:lvlText w:val=""/>
      <w:lvlJc w:val="left"/>
      <w:pPr>
        <w:ind w:left="4252" w:hanging="283"/>
      </w:pPr>
      <w:rPr>
        <w:rFonts w:ascii="Symbol" w:hAnsi="Symbol"/>
      </w:rPr>
    </w:lvl>
    <w:lvl w:ilvl="7">
      <w:numFmt w:val="bullet"/>
      <w:lvlText w:val="o"/>
      <w:lvlJc w:val="left"/>
      <w:pPr>
        <w:ind w:left="4819" w:hanging="283"/>
      </w:pPr>
    </w:lvl>
    <w:lvl w:ilvl="8">
      <w:numFmt w:val="bullet"/>
      <w:lvlText w:val=""/>
      <w:lvlJc w:val="left"/>
      <w:pPr>
        <w:ind w:left="5386" w:hanging="283"/>
      </w:pPr>
      <w:rPr>
        <w:rFonts w:ascii="Wingdings" w:hAnsi="Wingdings"/>
      </w:rPr>
    </w:lvl>
  </w:abstractNum>
  <w:abstractNum w:abstractNumId="37" w15:restartNumberingAfterBreak="0">
    <w:nsid w:val="7D600D91"/>
    <w:multiLevelType w:val="hybridMultilevel"/>
    <w:tmpl w:val="4EEE892A"/>
    <w:lvl w:ilvl="0" w:tplc="A4A620CC">
      <w:start w:val="1"/>
      <w:numFmt w:val="bullet"/>
      <w:lvlText w:val=""/>
      <w:lvlJc w:val="left"/>
      <w:pPr>
        <w:ind w:left="-207" w:hanging="360"/>
      </w:pPr>
      <w:rPr>
        <w:rFonts w:ascii="Wingdings 3" w:hAnsi="Wingdings 3" w:hint="default"/>
        <w:b w:val="0"/>
        <w:i w:val="0"/>
        <w:color w:val="E95F47" w:themeColor="accent3"/>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7169012">
    <w:abstractNumId w:val="26"/>
  </w:num>
  <w:num w:numId="2" w16cid:durableId="1882210866">
    <w:abstractNumId w:val="37"/>
  </w:num>
  <w:num w:numId="3" w16cid:durableId="762142735">
    <w:abstractNumId w:val="30"/>
  </w:num>
  <w:num w:numId="4" w16cid:durableId="1663193192">
    <w:abstractNumId w:val="15"/>
  </w:num>
  <w:num w:numId="5" w16cid:durableId="2102989278">
    <w:abstractNumId w:val="11"/>
  </w:num>
  <w:num w:numId="6" w16cid:durableId="781650643">
    <w:abstractNumId w:val="23"/>
  </w:num>
  <w:num w:numId="7" w16cid:durableId="280037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13600">
    <w:abstractNumId w:val="20"/>
  </w:num>
  <w:num w:numId="9" w16cid:durableId="51970523">
    <w:abstractNumId w:val="35"/>
  </w:num>
  <w:num w:numId="10" w16cid:durableId="2065910596">
    <w:abstractNumId w:val="16"/>
  </w:num>
  <w:num w:numId="11" w16cid:durableId="1259603078">
    <w:abstractNumId w:val="9"/>
  </w:num>
  <w:num w:numId="12" w16cid:durableId="1014114319">
    <w:abstractNumId w:val="7"/>
  </w:num>
  <w:num w:numId="13" w16cid:durableId="703098826">
    <w:abstractNumId w:val="6"/>
  </w:num>
  <w:num w:numId="14" w16cid:durableId="1691564568">
    <w:abstractNumId w:val="5"/>
  </w:num>
  <w:num w:numId="15" w16cid:durableId="1826121629">
    <w:abstractNumId w:val="4"/>
  </w:num>
  <w:num w:numId="16" w16cid:durableId="1501429804">
    <w:abstractNumId w:val="8"/>
  </w:num>
  <w:num w:numId="17" w16cid:durableId="649361657">
    <w:abstractNumId w:val="3"/>
  </w:num>
  <w:num w:numId="18" w16cid:durableId="616332992">
    <w:abstractNumId w:val="2"/>
  </w:num>
  <w:num w:numId="19" w16cid:durableId="1379623541">
    <w:abstractNumId w:val="1"/>
  </w:num>
  <w:num w:numId="20" w16cid:durableId="1318454980">
    <w:abstractNumId w:val="0"/>
  </w:num>
  <w:num w:numId="21" w16cid:durableId="203715036">
    <w:abstractNumId w:val="18"/>
  </w:num>
  <w:num w:numId="22" w16cid:durableId="1215695146">
    <w:abstractNumId w:val="24"/>
  </w:num>
  <w:num w:numId="23" w16cid:durableId="400906908">
    <w:abstractNumId w:val="22"/>
  </w:num>
  <w:num w:numId="24" w16cid:durableId="1036738658">
    <w:abstractNumId w:val="12"/>
  </w:num>
  <w:num w:numId="25" w16cid:durableId="303121923">
    <w:abstractNumId w:val="31"/>
  </w:num>
  <w:num w:numId="26" w16cid:durableId="1826702598">
    <w:abstractNumId w:val="33"/>
  </w:num>
  <w:num w:numId="27" w16cid:durableId="889456713">
    <w:abstractNumId w:val="17"/>
  </w:num>
  <w:num w:numId="28" w16cid:durableId="244609958">
    <w:abstractNumId w:val="29"/>
  </w:num>
  <w:num w:numId="29" w16cid:durableId="1714693740">
    <w:abstractNumId w:val="21"/>
  </w:num>
  <w:num w:numId="30" w16cid:durableId="328143397">
    <w:abstractNumId w:val="32"/>
  </w:num>
  <w:num w:numId="31" w16cid:durableId="1951009748">
    <w:abstractNumId w:val="14"/>
  </w:num>
  <w:num w:numId="32" w16cid:durableId="1856725706">
    <w:abstractNumId w:val="19"/>
  </w:num>
  <w:num w:numId="33" w16cid:durableId="1468087184">
    <w:abstractNumId w:val="23"/>
  </w:num>
  <w:num w:numId="34" w16cid:durableId="1708335619">
    <w:abstractNumId w:val="19"/>
  </w:num>
  <w:num w:numId="35" w16cid:durableId="639110728">
    <w:abstractNumId w:val="19"/>
  </w:num>
  <w:num w:numId="36" w16cid:durableId="1701930497">
    <w:abstractNumId w:val="19"/>
  </w:num>
  <w:num w:numId="37" w16cid:durableId="2071340695">
    <w:abstractNumId w:val="19"/>
  </w:num>
  <w:num w:numId="38" w16cid:durableId="1296330135">
    <w:abstractNumId w:val="19"/>
  </w:num>
  <w:num w:numId="39" w16cid:durableId="1177038868">
    <w:abstractNumId w:val="36"/>
  </w:num>
  <w:num w:numId="40" w16cid:durableId="1887646389">
    <w:abstractNumId w:val="25"/>
    <w:lvlOverride w:ilvl="0">
      <w:lvl w:ilvl="0">
        <w:numFmt w:val="bullet"/>
        <w:lvlText w:val=""/>
        <w:lvlJc w:val="left"/>
        <w:pPr>
          <w:ind w:left="360" w:hanging="360"/>
        </w:pPr>
        <w:rPr>
          <w:rFonts w:ascii="Wingdings 3" w:hAnsi="Wingdings 3"/>
          <w:b w:val="0"/>
          <w:i w:val="0"/>
          <w:color w:val="E95F47"/>
          <w:sz w:val="20"/>
        </w:rPr>
      </w:lvl>
    </w:lvlOverride>
  </w:num>
  <w:num w:numId="41" w16cid:durableId="509026330">
    <w:abstractNumId w:val="10"/>
    <w:lvlOverride w:ilvl="1">
      <w:lvl w:ilvl="1">
        <w:start w:val="1"/>
        <w:numFmt w:val="decimal"/>
        <w:lvlText w:val="%1.%2"/>
        <w:lvlJc w:val="left"/>
        <w:pPr>
          <w:ind w:left="595" w:hanging="595"/>
        </w:pPr>
        <w:rPr>
          <w:b w:val="0"/>
          <w:color w:val="auto"/>
          <w:sz w:val="20"/>
          <w:szCs w:val="20"/>
        </w:rPr>
      </w:lvl>
    </w:lvlOverride>
  </w:num>
  <w:num w:numId="42" w16cid:durableId="1599753450">
    <w:abstractNumId w:val="10"/>
  </w:num>
  <w:num w:numId="43" w16cid:durableId="1544170065">
    <w:abstractNumId w:val="13"/>
  </w:num>
  <w:num w:numId="44" w16cid:durableId="2128113882">
    <w:abstractNumId w:val="27"/>
  </w:num>
  <w:num w:numId="45" w16cid:durableId="70931805">
    <w:abstractNumId w:val="34"/>
  </w:num>
  <w:num w:numId="46" w16cid:durableId="1781949650">
    <w:abstractNumId w:val="28"/>
  </w:num>
  <w:num w:numId="47" w16cid:durableId="10358143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ermerkinformation" w:val="Muster für eine Vergabedienstanweisung"/>
  </w:docVars>
  <w:rsids>
    <w:rsidRoot w:val="003170C2"/>
    <w:rsid w:val="00000400"/>
    <w:rsid w:val="00001805"/>
    <w:rsid w:val="00003004"/>
    <w:rsid w:val="0000306E"/>
    <w:rsid w:val="0000375E"/>
    <w:rsid w:val="00004805"/>
    <w:rsid w:val="000055A4"/>
    <w:rsid w:val="00005A30"/>
    <w:rsid w:val="00007978"/>
    <w:rsid w:val="000101EC"/>
    <w:rsid w:val="00010395"/>
    <w:rsid w:val="000109F2"/>
    <w:rsid w:val="00010C57"/>
    <w:rsid w:val="00010D26"/>
    <w:rsid w:val="00011B49"/>
    <w:rsid w:val="000129F0"/>
    <w:rsid w:val="00013D17"/>
    <w:rsid w:val="00015D9C"/>
    <w:rsid w:val="0001602B"/>
    <w:rsid w:val="000162ED"/>
    <w:rsid w:val="00017613"/>
    <w:rsid w:val="0001795B"/>
    <w:rsid w:val="00017FCA"/>
    <w:rsid w:val="00020428"/>
    <w:rsid w:val="0002049E"/>
    <w:rsid w:val="00020716"/>
    <w:rsid w:val="00020C65"/>
    <w:rsid w:val="00022CA4"/>
    <w:rsid w:val="00022F69"/>
    <w:rsid w:val="0002332A"/>
    <w:rsid w:val="00023D21"/>
    <w:rsid w:val="00024056"/>
    <w:rsid w:val="000242CD"/>
    <w:rsid w:val="00024AC5"/>
    <w:rsid w:val="00024CD4"/>
    <w:rsid w:val="00025F24"/>
    <w:rsid w:val="0002784D"/>
    <w:rsid w:val="00030E94"/>
    <w:rsid w:val="00031D32"/>
    <w:rsid w:val="00031FDA"/>
    <w:rsid w:val="00032819"/>
    <w:rsid w:val="0003378E"/>
    <w:rsid w:val="00035652"/>
    <w:rsid w:val="0003582B"/>
    <w:rsid w:val="00036BA4"/>
    <w:rsid w:val="00037DE9"/>
    <w:rsid w:val="0004078D"/>
    <w:rsid w:val="00040B17"/>
    <w:rsid w:val="00040F77"/>
    <w:rsid w:val="000412B0"/>
    <w:rsid w:val="00042ADC"/>
    <w:rsid w:val="0004394E"/>
    <w:rsid w:val="00043E21"/>
    <w:rsid w:val="00043EEC"/>
    <w:rsid w:val="00044202"/>
    <w:rsid w:val="00044621"/>
    <w:rsid w:val="00044B61"/>
    <w:rsid w:val="000478B8"/>
    <w:rsid w:val="00052191"/>
    <w:rsid w:val="00052CFF"/>
    <w:rsid w:val="00054BA6"/>
    <w:rsid w:val="000555DA"/>
    <w:rsid w:val="00056A26"/>
    <w:rsid w:val="00056D37"/>
    <w:rsid w:val="00062457"/>
    <w:rsid w:val="000635CB"/>
    <w:rsid w:val="00064D31"/>
    <w:rsid w:val="00064FF2"/>
    <w:rsid w:val="00065CB7"/>
    <w:rsid w:val="00067185"/>
    <w:rsid w:val="00067B4B"/>
    <w:rsid w:val="0007096B"/>
    <w:rsid w:val="00070F54"/>
    <w:rsid w:val="000722F7"/>
    <w:rsid w:val="00073160"/>
    <w:rsid w:val="00073948"/>
    <w:rsid w:val="00073FEB"/>
    <w:rsid w:val="00075752"/>
    <w:rsid w:val="00075C80"/>
    <w:rsid w:val="00077C7F"/>
    <w:rsid w:val="00077D40"/>
    <w:rsid w:val="0008018E"/>
    <w:rsid w:val="00080D9A"/>
    <w:rsid w:val="00081EC1"/>
    <w:rsid w:val="0008343B"/>
    <w:rsid w:val="000844EB"/>
    <w:rsid w:val="0008613C"/>
    <w:rsid w:val="000871A6"/>
    <w:rsid w:val="00087D32"/>
    <w:rsid w:val="00090069"/>
    <w:rsid w:val="0009019B"/>
    <w:rsid w:val="00090432"/>
    <w:rsid w:val="000946FC"/>
    <w:rsid w:val="000947F6"/>
    <w:rsid w:val="00096900"/>
    <w:rsid w:val="000A28C8"/>
    <w:rsid w:val="000A33D3"/>
    <w:rsid w:val="000A437A"/>
    <w:rsid w:val="000A469A"/>
    <w:rsid w:val="000A716F"/>
    <w:rsid w:val="000B0043"/>
    <w:rsid w:val="000B04F3"/>
    <w:rsid w:val="000B0ADD"/>
    <w:rsid w:val="000B11EB"/>
    <w:rsid w:val="000B1ADD"/>
    <w:rsid w:val="000B2550"/>
    <w:rsid w:val="000B34B6"/>
    <w:rsid w:val="000B3698"/>
    <w:rsid w:val="000B65B2"/>
    <w:rsid w:val="000B6B10"/>
    <w:rsid w:val="000B6DEB"/>
    <w:rsid w:val="000C04CC"/>
    <w:rsid w:val="000C0537"/>
    <w:rsid w:val="000C0621"/>
    <w:rsid w:val="000C0E0C"/>
    <w:rsid w:val="000C10F3"/>
    <w:rsid w:val="000C117D"/>
    <w:rsid w:val="000C1356"/>
    <w:rsid w:val="000C15E6"/>
    <w:rsid w:val="000C202C"/>
    <w:rsid w:val="000C3388"/>
    <w:rsid w:val="000C34FD"/>
    <w:rsid w:val="000C3A5F"/>
    <w:rsid w:val="000C46BB"/>
    <w:rsid w:val="000C5043"/>
    <w:rsid w:val="000C5117"/>
    <w:rsid w:val="000C5133"/>
    <w:rsid w:val="000C574A"/>
    <w:rsid w:val="000C6B9E"/>
    <w:rsid w:val="000C6EC1"/>
    <w:rsid w:val="000D036A"/>
    <w:rsid w:val="000D0E1E"/>
    <w:rsid w:val="000D17C5"/>
    <w:rsid w:val="000D1AC4"/>
    <w:rsid w:val="000D1B56"/>
    <w:rsid w:val="000D27FB"/>
    <w:rsid w:val="000D4B8D"/>
    <w:rsid w:val="000D6898"/>
    <w:rsid w:val="000D7AC2"/>
    <w:rsid w:val="000E08D2"/>
    <w:rsid w:val="000E09FB"/>
    <w:rsid w:val="000E0BED"/>
    <w:rsid w:val="000E13CA"/>
    <w:rsid w:val="000E27A0"/>
    <w:rsid w:val="000E36B1"/>
    <w:rsid w:val="000E478C"/>
    <w:rsid w:val="000E4A56"/>
    <w:rsid w:val="000E4EAB"/>
    <w:rsid w:val="000E55FD"/>
    <w:rsid w:val="000E6654"/>
    <w:rsid w:val="000E679A"/>
    <w:rsid w:val="000E6911"/>
    <w:rsid w:val="000F12A5"/>
    <w:rsid w:val="000F1A37"/>
    <w:rsid w:val="000F3EC7"/>
    <w:rsid w:val="000F3EF4"/>
    <w:rsid w:val="000F4597"/>
    <w:rsid w:val="000F4C27"/>
    <w:rsid w:val="000F5489"/>
    <w:rsid w:val="000F5526"/>
    <w:rsid w:val="000F55D6"/>
    <w:rsid w:val="000F5CE9"/>
    <w:rsid w:val="000F5FB9"/>
    <w:rsid w:val="000F73B6"/>
    <w:rsid w:val="000F7AF3"/>
    <w:rsid w:val="000F7CD3"/>
    <w:rsid w:val="0010095C"/>
    <w:rsid w:val="00101C74"/>
    <w:rsid w:val="00102369"/>
    <w:rsid w:val="00102A57"/>
    <w:rsid w:val="00102EE2"/>
    <w:rsid w:val="0010326D"/>
    <w:rsid w:val="00103CB9"/>
    <w:rsid w:val="0010443F"/>
    <w:rsid w:val="0010516E"/>
    <w:rsid w:val="001101B9"/>
    <w:rsid w:val="0011025B"/>
    <w:rsid w:val="0011054D"/>
    <w:rsid w:val="0011059F"/>
    <w:rsid w:val="001109AF"/>
    <w:rsid w:val="00110A23"/>
    <w:rsid w:val="00111133"/>
    <w:rsid w:val="001121F4"/>
    <w:rsid w:val="0011270E"/>
    <w:rsid w:val="00112B6A"/>
    <w:rsid w:val="0011351A"/>
    <w:rsid w:val="0011757B"/>
    <w:rsid w:val="001175C9"/>
    <w:rsid w:val="00117F00"/>
    <w:rsid w:val="0012008A"/>
    <w:rsid w:val="001207F8"/>
    <w:rsid w:val="0012106D"/>
    <w:rsid w:val="00121878"/>
    <w:rsid w:val="0012189C"/>
    <w:rsid w:val="001221F2"/>
    <w:rsid w:val="001228F1"/>
    <w:rsid w:val="00124502"/>
    <w:rsid w:val="00124FEA"/>
    <w:rsid w:val="001255A8"/>
    <w:rsid w:val="00125BCB"/>
    <w:rsid w:val="00125E7C"/>
    <w:rsid w:val="00125EDB"/>
    <w:rsid w:val="00125F64"/>
    <w:rsid w:val="00127E4D"/>
    <w:rsid w:val="001308AA"/>
    <w:rsid w:val="0013123D"/>
    <w:rsid w:val="00132F31"/>
    <w:rsid w:val="00133345"/>
    <w:rsid w:val="0013476E"/>
    <w:rsid w:val="0013583F"/>
    <w:rsid w:val="001362E4"/>
    <w:rsid w:val="001364D2"/>
    <w:rsid w:val="00136C41"/>
    <w:rsid w:val="00136F1D"/>
    <w:rsid w:val="00137CE4"/>
    <w:rsid w:val="00137EF3"/>
    <w:rsid w:val="001409D3"/>
    <w:rsid w:val="00141739"/>
    <w:rsid w:val="00142749"/>
    <w:rsid w:val="00142F4A"/>
    <w:rsid w:val="00143083"/>
    <w:rsid w:val="001430B1"/>
    <w:rsid w:val="0014537A"/>
    <w:rsid w:val="00145E38"/>
    <w:rsid w:val="001478ED"/>
    <w:rsid w:val="00147D0D"/>
    <w:rsid w:val="001507AE"/>
    <w:rsid w:val="001516F8"/>
    <w:rsid w:val="00152528"/>
    <w:rsid w:val="00152587"/>
    <w:rsid w:val="0015268F"/>
    <w:rsid w:val="001543C2"/>
    <w:rsid w:val="0015511E"/>
    <w:rsid w:val="00156087"/>
    <w:rsid w:val="00156A53"/>
    <w:rsid w:val="00157962"/>
    <w:rsid w:val="00160407"/>
    <w:rsid w:val="00161251"/>
    <w:rsid w:val="00161CCA"/>
    <w:rsid w:val="00162858"/>
    <w:rsid w:val="00162F6B"/>
    <w:rsid w:val="00164C00"/>
    <w:rsid w:val="00164D81"/>
    <w:rsid w:val="001650B1"/>
    <w:rsid w:val="00165129"/>
    <w:rsid w:val="001653AF"/>
    <w:rsid w:val="00165751"/>
    <w:rsid w:val="001663EB"/>
    <w:rsid w:val="0016703F"/>
    <w:rsid w:val="00167EB7"/>
    <w:rsid w:val="00170086"/>
    <w:rsid w:val="001702CA"/>
    <w:rsid w:val="00170D06"/>
    <w:rsid w:val="00171283"/>
    <w:rsid w:val="0017147E"/>
    <w:rsid w:val="00171A47"/>
    <w:rsid w:val="00173580"/>
    <w:rsid w:val="001736D6"/>
    <w:rsid w:val="0017445C"/>
    <w:rsid w:val="00176BEE"/>
    <w:rsid w:val="00176E25"/>
    <w:rsid w:val="00177517"/>
    <w:rsid w:val="001801F2"/>
    <w:rsid w:val="00181299"/>
    <w:rsid w:val="001817F6"/>
    <w:rsid w:val="001820EF"/>
    <w:rsid w:val="0018273D"/>
    <w:rsid w:val="00182869"/>
    <w:rsid w:val="001828BA"/>
    <w:rsid w:val="00182EAA"/>
    <w:rsid w:val="00183FF9"/>
    <w:rsid w:val="00184ABC"/>
    <w:rsid w:val="00185BEB"/>
    <w:rsid w:val="001868E9"/>
    <w:rsid w:val="00186BB9"/>
    <w:rsid w:val="00187A43"/>
    <w:rsid w:val="001924E0"/>
    <w:rsid w:val="00195F9E"/>
    <w:rsid w:val="00196C4C"/>
    <w:rsid w:val="0019748E"/>
    <w:rsid w:val="001A0010"/>
    <w:rsid w:val="001A0D92"/>
    <w:rsid w:val="001A1003"/>
    <w:rsid w:val="001A17E1"/>
    <w:rsid w:val="001A1A83"/>
    <w:rsid w:val="001A35A5"/>
    <w:rsid w:val="001A41E1"/>
    <w:rsid w:val="001A4386"/>
    <w:rsid w:val="001A624D"/>
    <w:rsid w:val="001A6D3B"/>
    <w:rsid w:val="001A76C8"/>
    <w:rsid w:val="001A7A2D"/>
    <w:rsid w:val="001A7E40"/>
    <w:rsid w:val="001B021A"/>
    <w:rsid w:val="001B0949"/>
    <w:rsid w:val="001B17ED"/>
    <w:rsid w:val="001B1D54"/>
    <w:rsid w:val="001B2CB1"/>
    <w:rsid w:val="001B376A"/>
    <w:rsid w:val="001B3EC8"/>
    <w:rsid w:val="001B5975"/>
    <w:rsid w:val="001B60F5"/>
    <w:rsid w:val="001B6C39"/>
    <w:rsid w:val="001B7285"/>
    <w:rsid w:val="001C0374"/>
    <w:rsid w:val="001C05CB"/>
    <w:rsid w:val="001C0AAB"/>
    <w:rsid w:val="001C1E3D"/>
    <w:rsid w:val="001C1FAC"/>
    <w:rsid w:val="001C241B"/>
    <w:rsid w:val="001C2CC4"/>
    <w:rsid w:val="001C2FCE"/>
    <w:rsid w:val="001C3482"/>
    <w:rsid w:val="001C4F78"/>
    <w:rsid w:val="001C6560"/>
    <w:rsid w:val="001C670C"/>
    <w:rsid w:val="001C674A"/>
    <w:rsid w:val="001C7618"/>
    <w:rsid w:val="001D1144"/>
    <w:rsid w:val="001D12E0"/>
    <w:rsid w:val="001D2798"/>
    <w:rsid w:val="001D291F"/>
    <w:rsid w:val="001D2E7D"/>
    <w:rsid w:val="001D42A7"/>
    <w:rsid w:val="001D5A33"/>
    <w:rsid w:val="001D71E8"/>
    <w:rsid w:val="001D758D"/>
    <w:rsid w:val="001D7F84"/>
    <w:rsid w:val="001E0448"/>
    <w:rsid w:val="001E16FA"/>
    <w:rsid w:val="001E1763"/>
    <w:rsid w:val="001E178F"/>
    <w:rsid w:val="001E3314"/>
    <w:rsid w:val="001E410D"/>
    <w:rsid w:val="001E5C1F"/>
    <w:rsid w:val="001E6CAD"/>
    <w:rsid w:val="001E7A2F"/>
    <w:rsid w:val="001E7F28"/>
    <w:rsid w:val="001F0051"/>
    <w:rsid w:val="001F1C7A"/>
    <w:rsid w:val="001F2326"/>
    <w:rsid w:val="001F2458"/>
    <w:rsid w:val="001F2711"/>
    <w:rsid w:val="001F32E9"/>
    <w:rsid w:val="001F3401"/>
    <w:rsid w:val="001F3826"/>
    <w:rsid w:val="001F3E29"/>
    <w:rsid w:val="001F4A0F"/>
    <w:rsid w:val="001F5789"/>
    <w:rsid w:val="001F5B2E"/>
    <w:rsid w:val="001F5CBB"/>
    <w:rsid w:val="001F6675"/>
    <w:rsid w:val="001F6B78"/>
    <w:rsid w:val="002008E3"/>
    <w:rsid w:val="00202404"/>
    <w:rsid w:val="002037FD"/>
    <w:rsid w:val="00204487"/>
    <w:rsid w:val="00206512"/>
    <w:rsid w:val="0021116D"/>
    <w:rsid w:val="0021183A"/>
    <w:rsid w:val="00211D1A"/>
    <w:rsid w:val="00212A0B"/>
    <w:rsid w:val="00212D5A"/>
    <w:rsid w:val="00213A1B"/>
    <w:rsid w:val="002142C6"/>
    <w:rsid w:val="002159E2"/>
    <w:rsid w:val="00215FE9"/>
    <w:rsid w:val="002162F7"/>
    <w:rsid w:val="002166B4"/>
    <w:rsid w:val="002172DC"/>
    <w:rsid w:val="002174FF"/>
    <w:rsid w:val="00217731"/>
    <w:rsid w:val="00217DD1"/>
    <w:rsid w:val="00221457"/>
    <w:rsid w:val="00221999"/>
    <w:rsid w:val="00221DCC"/>
    <w:rsid w:val="00222352"/>
    <w:rsid w:val="002229F7"/>
    <w:rsid w:val="00225651"/>
    <w:rsid w:val="00225907"/>
    <w:rsid w:val="00225BDF"/>
    <w:rsid w:val="00226658"/>
    <w:rsid w:val="00226B61"/>
    <w:rsid w:val="0023173F"/>
    <w:rsid w:val="00231CA5"/>
    <w:rsid w:val="002328F2"/>
    <w:rsid w:val="00232C59"/>
    <w:rsid w:val="00235484"/>
    <w:rsid w:val="00236358"/>
    <w:rsid w:val="002379D8"/>
    <w:rsid w:val="0024049C"/>
    <w:rsid w:val="00240C27"/>
    <w:rsid w:val="00241BF5"/>
    <w:rsid w:val="00241BF7"/>
    <w:rsid w:val="0024212F"/>
    <w:rsid w:val="00242827"/>
    <w:rsid w:val="00242BC7"/>
    <w:rsid w:val="00243E1A"/>
    <w:rsid w:val="0024413E"/>
    <w:rsid w:val="0024539C"/>
    <w:rsid w:val="0024561D"/>
    <w:rsid w:val="002467D3"/>
    <w:rsid w:val="00246869"/>
    <w:rsid w:val="00246DB0"/>
    <w:rsid w:val="0024799A"/>
    <w:rsid w:val="00250332"/>
    <w:rsid w:val="00252229"/>
    <w:rsid w:val="00252841"/>
    <w:rsid w:val="002535EB"/>
    <w:rsid w:val="00253627"/>
    <w:rsid w:val="00254CE7"/>
    <w:rsid w:val="00255472"/>
    <w:rsid w:val="00256024"/>
    <w:rsid w:val="00256152"/>
    <w:rsid w:val="002568D6"/>
    <w:rsid w:val="00257313"/>
    <w:rsid w:val="002602CB"/>
    <w:rsid w:val="00260714"/>
    <w:rsid w:val="0026114E"/>
    <w:rsid w:val="00261324"/>
    <w:rsid w:val="00261B10"/>
    <w:rsid w:val="00261BDC"/>
    <w:rsid w:val="00262C8E"/>
    <w:rsid w:val="00263818"/>
    <w:rsid w:val="00264787"/>
    <w:rsid w:val="00264DDD"/>
    <w:rsid w:val="00265B94"/>
    <w:rsid w:val="0026603D"/>
    <w:rsid w:val="002664B6"/>
    <w:rsid w:val="00267122"/>
    <w:rsid w:val="002671ED"/>
    <w:rsid w:val="0027095D"/>
    <w:rsid w:val="00271078"/>
    <w:rsid w:val="0027108A"/>
    <w:rsid w:val="00271DD0"/>
    <w:rsid w:val="00272FD4"/>
    <w:rsid w:val="00273382"/>
    <w:rsid w:val="0027442E"/>
    <w:rsid w:val="00274531"/>
    <w:rsid w:val="00274624"/>
    <w:rsid w:val="00274E5B"/>
    <w:rsid w:val="0027543E"/>
    <w:rsid w:val="00275C97"/>
    <w:rsid w:val="00276F0A"/>
    <w:rsid w:val="00277206"/>
    <w:rsid w:val="0028173B"/>
    <w:rsid w:val="00281F18"/>
    <w:rsid w:val="00283C92"/>
    <w:rsid w:val="00285BB8"/>
    <w:rsid w:val="0028756E"/>
    <w:rsid w:val="002911CC"/>
    <w:rsid w:val="002927F6"/>
    <w:rsid w:val="002946E6"/>
    <w:rsid w:val="002952AD"/>
    <w:rsid w:val="0029541D"/>
    <w:rsid w:val="00295892"/>
    <w:rsid w:val="00295A3A"/>
    <w:rsid w:val="00295AC9"/>
    <w:rsid w:val="00295BA8"/>
    <w:rsid w:val="00295DC0"/>
    <w:rsid w:val="00296D7D"/>
    <w:rsid w:val="00296EBD"/>
    <w:rsid w:val="00297012"/>
    <w:rsid w:val="002971B5"/>
    <w:rsid w:val="002A021A"/>
    <w:rsid w:val="002A07E1"/>
    <w:rsid w:val="002A0A7A"/>
    <w:rsid w:val="002A18F9"/>
    <w:rsid w:val="002A3875"/>
    <w:rsid w:val="002A3FAC"/>
    <w:rsid w:val="002A55C1"/>
    <w:rsid w:val="002A56C3"/>
    <w:rsid w:val="002A66B0"/>
    <w:rsid w:val="002A7C46"/>
    <w:rsid w:val="002B0167"/>
    <w:rsid w:val="002B05A6"/>
    <w:rsid w:val="002B0F48"/>
    <w:rsid w:val="002B1210"/>
    <w:rsid w:val="002B15A8"/>
    <w:rsid w:val="002B2D0E"/>
    <w:rsid w:val="002B313A"/>
    <w:rsid w:val="002B3699"/>
    <w:rsid w:val="002B3841"/>
    <w:rsid w:val="002B47AB"/>
    <w:rsid w:val="002B4D70"/>
    <w:rsid w:val="002B5634"/>
    <w:rsid w:val="002B5C3A"/>
    <w:rsid w:val="002B66DA"/>
    <w:rsid w:val="002C12A7"/>
    <w:rsid w:val="002C2BFF"/>
    <w:rsid w:val="002C31E3"/>
    <w:rsid w:val="002C34AD"/>
    <w:rsid w:val="002C352E"/>
    <w:rsid w:val="002C3FCA"/>
    <w:rsid w:val="002C44D7"/>
    <w:rsid w:val="002C4E1C"/>
    <w:rsid w:val="002C5448"/>
    <w:rsid w:val="002C6287"/>
    <w:rsid w:val="002C62B0"/>
    <w:rsid w:val="002C7486"/>
    <w:rsid w:val="002D0275"/>
    <w:rsid w:val="002D23E9"/>
    <w:rsid w:val="002D27B0"/>
    <w:rsid w:val="002D2B54"/>
    <w:rsid w:val="002D2E42"/>
    <w:rsid w:val="002D4AF6"/>
    <w:rsid w:val="002D4FBD"/>
    <w:rsid w:val="002D5A2B"/>
    <w:rsid w:val="002D5B0A"/>
    <w:rsid w:val="002D790F"/>
    <w:rsid w:val="002E0238"/>
    <w:rsid w:val="002E0DD6"/>
    <w:rsid w:val="002E0EFD"/>
    <w:rsid w:val="002E26CE"/>
    <w:rsid w:val="002E3215"/>
    <w:rsid w:val="002E3E8D"/>
    <w:rsid w:val="002E3F27"/>
    <w:rsid w:val="002E3FBB"/>
    <w:rsid w:val="002E5728"/>
    <w:rsid w:val="002E5CE5"/>
    <w:rsid w:val="002E6291"/>
    <w:rsid w:val="002E6B2C"/>
    <w:rsid w:val="002E7BC3"/>
    <w:rsid w:val="002F0267"/>
    <w:rsid w:val="002F0E71"/>
    <w:rsid w:val="002F1609"/>
    <w:rsid w:val="002F1DD8"/>
    <w:rsid w:val="002F3DEA"/>
    <w:rsid w:val="002F465E"/>
    <w:rsid w:val="002F4A11"/>
    <w:rsid w:val="002F4AAF"/>
    <w:rsid w:val="002F4FFC"/>
    <w:rsid w:val="002F52C9"/>
    <w:rsid w:val="002F64C8"/>
    <w:rsid w:val="002F68B3"/>
    <w:rsid w:val="002F6BE3"/>
    <w:rsid w:val="002F7040"/>
    <w:rsid w:val="002F77C4"/>
    <w:rsid w:val="00300057"/>
    <w:rsid w:val="003020B7"/>
    <w:rsid w:val="003024AA"/>
    <w:rsid w:val="00302CD0"/>
    <w:rsid w:val="003030F0"/>
    <w:rsid w:val="00304E1F"/>
    <w:rsid w:val="00305212"/>
    <w:rsid w:val="00306B66"/>
    <w:rsid w:val="00310A7C"/>
    <w:rsid w:val="00310B02"/>
    <w:rsid w:val="00312633"/>
    <w:rsid w:val="00312F27"/>
    <w:rsid w:val="00313D7E"/>
    <w:rsid w:val="00314E95"/>
    <w:rsid w:val="003159A7"/>
    <w:rsid w:val="00315E28"/>
    <w:rsid w:val="00316840"/>
    <w:rsid w:val="003170C2"/>
    <w:rsid w:val="003176C1"/>
    <w:rsid w:val="00317728"/>
    <w:rsid w:val="003206F1"/>
    <w:rsid w:val="003228B4"/>
    <w:rsid w:val="00323346"/>
    <w:rsid w:val="00323743"/>
    <w:rsid w:val="0032392E"/>
    <w:rsid w:val="00323A33"/>
    <w:rsid w:val="00323AE5"/>
    <w:rsid w:val="00324454"/>
    <w:rsid w:val="00325406"/>
    <w:rsid w:val="0032583B"/>
    <w:rsid w:val="0032602B"/>
    <w:rsid w:val="0032709E"/>
    <w:rsid w:val="003270EC"/>
    <w:rsid w:val="00330D75"/>
    <w:rsid w:val="00331913"/>
    <w:rsid w:val="00332288"/>
    <w:rsid w:val="003334E5"/>
    <w:rsid w:val="003341AC"/>
    <w:rsid w:val="0033488E"/>
    <w:rsid w:val="003350BD"/>
    <w:rsid w:val="003368DC"/>
    <w:rsid w:val="003412D8"/>
    <w:rsid w:val="0034248B"/>
    <w:rsid w:val="00342B5F"/>
    <w:rsid w:val="00342F81"/>
    <w:rsid w:val="00343145"/>
    <w:rsid w:val="00343B25"/>
    <w:rsid w:val="0034549F"/>
    <w:rsid w:val="00346F8D"/>
    <w:rsid w:val="00347247"/>
    <w:rsid w:val="00350EC4"/>
    <w:rsid w:val="00351648"/>
    <w:rsid w:val="00351C18"/>
    <w:rsid w:val="00352E7D"/>
    <w:rsid w:val="00353CE7"/>
    <w:rsid w:val="00354082"/>
    <w:rsid w:val="003545B1"/>
    <w:rsid w:val="003555D4"/>
    <w:rsid w:val="00355AAE"/>
    <w:rsid w:val="00355FBB"/>
    <w:rsid w:val="003561CF"/>
    <w:rsid w:val="003562D7"/>
    <w:rsid w:val="003566FE"/>
    <w:rsid w:val="003569DB"/>
    <w:rsid w:val="00356B8E"/>
    <w:rsid w:val="00356F0B"/>
    <w:rsid w:val="00357966"/>
    <w:rsid w:val="003579DB"/>
    <w:rsid w:val="00357AA8"/>
    <w:rsid w:val="00360ACC"/>
    <w:rsid w:val="003636AD"/>
    <w:rsid w:val="00363957"/>
    <w:rsid w:val="00363BB5"/>
    <w:rsid w:val="00366505"/>
    <w:rsid w:val="00366886"/>
    <w:rsid w:val="00366DDB"/>
    <w:rsid w:val="00366DF1"/>
    <w:rsid w:val="003676EF"/>
    <w:rsid w:val="00370256"/>
    <w:rsid w:val="00370EB0"/>
    <w:rsid w:val="00371E13"/>
    <w:rsid w:val="00371E46"/>
    <w:rsid w:val="00371F5B"/>
    <w:rsid w:val="00372843"/>
    <w:rsid w:val="00372A1D"/>
    <w:rsid w:val="00374E54"/>
    <w:rsid w:val="003754DC"/>
    <w:rsid w:val="00376459"/>
    <w:rsid w:val="00380299"/>
    <w:rsid w:val="003806F7"/>
    <w:rsid w:val="00380963"/>
    <w:rsid w:val="003821A4"/>
    <w:rsid w:val="003829F8"/>
    <w:rsid w:val="0038344D"/>
    <w:rsid w:val="00383740"/>
    <w:rsid w:val="00383E49"/>
    <w:rsid w:val="003844AD"/>
    <w:rsid w:val="00384870"/>
    <w:rsid w:val="00386386"/>
    <w:rsid w:val="0038651B"/>
    <w:rsid w:val="00386EFC"/>
    <w:rsid w:val="00387008"/>
    <w:rsid w:val="003879D0"/>
    <w:rsid w:val="0039019A"/>
    <w:rsid w:val="003907B3"/>
    <w:rsid w:val="00391D8E"/>
    <w:rsid w:val="00392A85"/>
    <w:rsid w:val="003945A7"/>
    <w:rsid w:val="003953D2"/>
    <w:rsid w:val="0039592F"/>
    <w:rsid w:val="00395E93"/>
    <w:rsid w:val="0039653B"/>
    <w:rsid w:val="003969AE"/>
    <w:rsid w:val="00396A04"/>
    <w:rsid w:val="00396CFF"/>
    <w:rsid w:val="00397455"/>
    <w:rsid w:val="00397B74"/>
    <w:rsid w:val="00397CDD"/>
    <w:rsid w:val="003A2716"/>
    <w:rsid w:val="003A3E85"/>
    <w:rsid w:val="003A4048"/>
    <w:rsid w:val="003A45E3"/>
    <w:rsid w:val="003A69CE"/>
    <w:rsid w:val="003A7CD4"/>
    <w:rsid w:val="003A7DD5"/>
    <w:rsid w:val="003A7E43"/>
    <w:rsid w:val="003B1C05"/>
    <w:rsid w:val="003B262A"/>
    <w:rsid w:val="003B34BD"/>
    <w:rsid w:val="003B4267"/>
    <w:rsid w:val="003B4998"/>
    <w:rsid w:val="003B4C33"/>
    <w:rsid w:val="003B5453"/>
    <w:rsid w:val="003B608F"/>
    <w:rsid w:val="003B62EF"/>
    <w:rsid w:val="003B679E"/>
    <w:rsid w:val="003B6998"/>
    <w:rsid w:val="003B7A2A"/>
    <w:rsid w:val="003B7CAE"/>
    <w:rsid w:val="003C1589"/>
    <w:rsid w:val="003C1DBC"/>
    <w:rsid w:val="003C2128"/>
    <w:rsid w:val="003C2448"/>
    <w:rsid w:val="003C26A3"/>
    <w:rsid w:val="003C2979"/>
    <w:rsid w:val="003C319A"/>
    <w:rsid w:val="003C3A98"/>
    <w:rsid w:val="003C40D0"/>
    <w:rsid w:val="003C4E07"/>
    <w:rsid w:val="003C55B5"/>
    <w:rsid w:val="003C56FB"/>
    <w:rsid w:val="003C69DF"/>
    <w:rsid w:val="003C6A0F"/>
    <w:rsid w:val="003C7B7E"/>
    <w:rsid w:val="003C7E33"/>
    <w:rsid w:val="003D02B7"/>
    <w:rsid w:val="003D05E5"/>
    <w:rsid w:val="003D0D36"/>
    <w:rsid w:val="003D19FA"/>
    <w:rsid w:val="003D2273"/>
    <w:rsid w:val="003D243E"/>
    <w:rsid w:val="003D2F71"/>
    <w:rsid w:val="003D31DA"/>
    <w:rsid w:val="003D3C77"/>
    <w:rsid w:val="003D3D20"/>
    <w:rsid w:val="003D4830"/>
    <w:rsid w:val="003D4B5C"/>
    <w:rsid w:val="003D5AF0"/>
    <w:rsid w:val="003D6686"/>
    <w:rsid w:val="003D68FA"/>
    <w:rsid w:val="003D6F3C"/>
    <w:rsid w:val="003D77D5"/>
    <w:rsid w:val="003E06D4"/>
    <w:rsid w:val="003E104C"/>
    <w:rsid w:val="003E2C1A"/>
    <w:rsid w:val="003E3274"/>
    <w:rsid w:val="003E3A93"/>
    <w:rsid w:val="003E5247"/>
    <w:rsid w:val="003E5727"/>
    <w:rsid w:val="003E6415"/>
    <w:rsid w:val="003E67BB"/>
    <w:rsid w:val="003E6D74"/>
    <w:rsid w:val="003E703B"/>
    <w:rsid w:val="003E7893"/>
    <w:rsid w:val="003E79C7"/>
    <w:rsid w:val="003E7DF1"/>
    <w:rsid w:val="003F09F0"/>
    <w:rsid w:val="003F0F78"/>
    <w:rsid w:val="003F1B13"/>
    <w:rsid w:val="003F1DAB"/>
    <w:rsid w:val="003F2152"/>
    <w:rsid w:val="003F254B"/>
    <w:rsid w:val="003F26BA"/>
    <w:rsid w:val="003F2835"/>
    <w:rsid w:val="003F48EF"/>
    <w:rsid w:val="003F5BCF"/>
    <w:rsid w:val="003F5E6A"/>
    <w:rsid w:val="003F6203"/>
    <w:rsid w:val="003F632A"/>
    <w:rsid w:val="003F67A5"/>
    <w:rsid w:val="00400A48"/>
    <w:rsid w:val="00400C03"/>
    <w:rsid w:val="00400F70"/>
    <w:rsid w:val="00401180"/>
    <w:rsid w:val="00401208"/>
    <w:rsid w:val="004023C6"/>
    <w:rsid w:val="00402E15"/>
    <w:rsid w:val="004030AC"/>
    <w:rsid w:val="004037E9"/>
    <w:rsid w:val="004039A4"/>
    <w:rsid w:val="00404506"/>
    <w:rsid w:val="00404C95"/>
    <w:rsid w:val="00404E1A"/>
    <w:rsid w:val="004052AF"/>
    <w:rsid w:val="004056AE"/>
    <w:rsid w:val="0040629E"/>
    <w:rsid w:val="0040749A"/>
    <w:rsid w:val="00411ACF"/>
    <w:rsid w:val="00413085"/>
    <w:rsid w:val="00413797"/>
    <w:rsid w:val="00414426"/>
    <w:rsid w:val="0041457F"/>
    <w:rsid w:val="00414EE6"/>
    <w:rsid w:val="00415C2B"/>
    <w:rsid w:val="00415C70"/>
    <w:rsid w:val="004175F5"/>
    <w:rsid w:val="004178C0"/>
    <w:rsid w:val="004201C5"/>
    <w:rsid w:val="0042035A"/>
    <w:rsid w:val="00420698"/>
    <w:rsid w:val="004213BA"/>
    <w:rsid w:val="00421A18"/>
    <w:rsid w:val="00422499"/>
    <w:rsid w:val="00422858"/>
    <w:rsid w:val="0042327E"/>
    <w:rsid w:val="00424C8F"/>
    <w:rsid w:val="00424F0C"/>
    <w:rsid w:val="00425492"/>
    <w:rsid w:val="004254C0"/>
    <w:rsid w:val="00425B70"/>
    <w:rsid w:val="00427C5A"/>
    <w:rsid w:val="00427D4A"/>
    <w:rsid w:val="0043063D"/>
    <w:rsid w:val="004316FD"/>
    <w:rsid w:val="0043202A"/>
    <w:rsid w:val="004322B8"/>
    <w:rsid w:val="004324F0"/>
    <w:rsid w:val="00432E3D"/>
    <w:rsid w:val="00432FCE"/>
    <w:rsid w:val="004336D8"/>
    <w:rsid w:val="0043413E"/>
    <w:rsid w:val="00434195"/>
    <w:rsid w:val="00434CE8"/>
    <w:rsid w:val="00435045"/>
    <w:rsid w:val="004356D7"/>
    <w:rsid w:val="004356FB"/>
    <w:rsid w:val="0043606F"/>
    <w:rsid w:val="00436C21"/>
    <w:rsid w:val="00436F6F"/>
    <w:rsid w:val="00437E0B"/>
    <w:rsid w:val="004433A3"/>
    <w:rsid w:val="004443CA"/>
    <w:rsid w:val="00444989"/>
    <w:rsid w:val="00445EA7"/>
    <w:rsid w:val="0044712B"/>
    <w:rsid w:val="00447E90"/>
    <w:rsid w:val="00450BAF"/>
    <w:rsid w:val="0045267C"/>
    <w:rsid w:val="004532B7"/>
    <w:rsid w:val="00454070"/>
    <w:rsid w:val="0045417B"/>
    <w:rsid w:val="00454732"/>
    <w:rsid w:val="00455A09"/>
    <w:rsid w:val="004563E3"/>
    <w:rsid w:val="00456788"/>
    <w:rsid w:val="00456BFC"/>
    <w:rsid w:val="00457340"/>
    <w:rsid w:val="004573AD"/>
    <w:rsid w:val="00457556"/>
    <w:rsid w:val="00457D81"/>
    <w:rsid w:val="00460157"/>
    <w:rsid w:val="004614E4"/>
    <w:rsid w:val="00461853"/>
    <w:rsid w:val="004620E6"/>
    <w:rsid w:val="0046285D"/>
    <w:rsid w:val="00462AD1"/>
    <w:rsid w:val="004634D2"/>
    <w:rsid w:val="00463632"/>
    <w:rsid w:val="0046371B"/>
    <w:rsid w:val="00463758"/>
    <w:rsid w:val="004639DC"/>
    <w:rsid w:val="00463D8F"/>
    <w:rsid w:val="00464A62"/>
    <w:rsid w:val="00464EC0"/>
    <w:rsid w:val="00465E9B"/>
    <w:rsid w:val="00466FD5"/>
    <w:rsid w:val="00470502"/>
    <w:rsid w:val="00473397"/>
    <w:rsid w:val="00473A82"/>
    <w:rsid w:val="00473E94"/>
    <w:rsid w:val="0047453D"/>
    <w:rsid w:val="0048041A"/>
    <w:rsid w:val="00482602"/>
    <w:rsid w:val="00482DDF"/>
    <w:rsid w:val="0048338F"/>
    <w:rsid w:val="00484DD5"/>
    <w:rsid w:val="004865F0"/>
    <w:rsid w:val="0048783A"/>
    <w:rsid w:val="004914BA"/>
    <w:rsid w:val="00491B62"/>
    <w:rsid w:val="00491BC7"/>
    <w:rsid w:val="00493592"/>
    <w:rsid w:val="00493833"/>
    <w:rsid w:val="00494098"/>
    <w:rsid w:val="00494ACE"/>
    <w:rsid w:val="00496243"/>
    <w:rsid w:val="004969AC"/>
    <w:rsid w:val="00496B9C"/>
    <w:rsid w:val="00496C74"/>
    <w:rsid w:val="00497C5E"/>
    <w:rsid w:val="004A0473"/>
    <w:rsid w:val="004A1170"/>
    <w:rsid w:val="004A16D4"/>
    <w:rsid w:val="004A25B3"/>
    <w:rsid w:val="004A29F9"/>
    <w:rsid w:val="004A322D"/>
    <w:rsid w:val="004A3728"/>
    <w:rsid w:val="004A3B99"/>
    <w:rsid w:val="004A46E2"/>
    <w:rsid w:val="004A5B48"/>
    <w:rsid w:val="004A7480"/>
    <w:rsid w:val="004A777C"/>
    <w:rsid w:val="004B1EFF"/>
    <w:rsid w:val="004B2415"/>
    <w:rsid w:val="004B287B"/>
    <w:rsid w:val="004B2FB4"/>
    <w:rsid w:val="004B4BF3"/>
    <w:rsid w:val="004B4DE3"/>
    <w:rsid w:val="004B50CA"/>
    <w:rsid w:val="004B5C58"/>
    <w:rsid w:val="004B6B37"/>
    <w:rsid w:val="004B74E0"/>
    <w:rsid w:val="004C0033"/>
    <w:rsid w:val="004C0FEA"/>
    <w:rsid w:val="004C2132"/>
    <w:rsid w:val="004C271E"/>
    <w:rsid w:val="004C2894"/>
    <w:rsid w:val="004C3B68"/>
    <w:rsid w:val="004C3F09"/>
    <w:rsid w:val="004C457D"/>
    <w:rsid w:val="004C47D2"/>
    <w:rsid w:val="004C4F14"/>
    <w:rsid w:val="004C4FFD"/>
    <w:rsid w:val="004C589C"/>
    <w:rsid w:val="004C599C"/>
    <w:rsid w:val="004C5C20"/>
    <w:rsid w:val="004C7774"/>
    <w:rsid w:val="004C7A6B"/>
    <w:rsid w:val="004C7BEE"/>
    <w:rsid w:val="004D0382"/>
    <w:rsid w:val="004D1088"/>
    <w:rsid w:val="004D2E4C"/>
    <w:rsid w:val="004D3639"/>
    <w:rsid w:val="004D3DB3"/>
    <w:rsid w:val="004D47FB"/>
    <w:rsid w:val="004D5160"/>
    <w:rsid w:val="004D56AF"/>
    <w:rsid w:val="004D7B9F"/>
    <w:rsid w:val="004D7CBB"/>
    <w:rsid w:val="004D7E2D"/>
    <w:rsid w:val="004E04DF"/>
    <w:rsid w:val="004E0B9C"/>
    <w:rsid w:val="004E1CCE"/>
    <w:rsid w:val="004E234C"/>
    <w:rsid w:val="004E24E2"/>
    <w:rsid w:val="004E3E01"/>
    <w:rsid w:val="004E47E6"/>
    <w:rsid w:val="004E4A78"/>
    <w:rsid w:val="004E647C"/>
    <w:rsid w:val="004E68AD"/>
    <w:rsid w:val="004E7338"/>
    <w:rsid w:val="004E7C82"/>
    <w:rsid w:val="004F236E"/>
    <w:rsid w:val="004F24D8"/>
    <w:rsid w:val="004F28B9"/>
    <w:rsid w:val="004F5AFA"/>
    <w:rsid w:val="004F5C93"/>
    <w:rsid w:val="004F631A"/>
    <w:rsid w:val="004F6EFD"/>
    <w:rsid w:val="004F7B42"/>
    <w:rsid w:val="004F7FA7"/>
    <w:rsid w:val="0050112A"/>
    <w:rsid w:val="00502FD0"/>
    <w:rsid w:val="00503B10"/>
    <w:rsid w:val="005042AF"/>
    <w:rsid w:val="00505BE5"/>
    <w:rsid w:val="005061C2"/>
    <w:rsid w:val="00506649"/>
    <w:rsid w:val="00507297"/>
    <w:rsid w:val="00507700"/>
    <w:rsid w:val="00510A16"/>
    <w:rsid w:val="00510FDA"/>
    <w:rsid w:val="00511386"/>
    <w:rsid w:val="0051184A"/>
    <w:rsid w:val="00511EA0"/>
    <w:rsid w:val="00512629"/>
    <w:rsid w:val="0051274E"/>
    <w:rsid w:val="0051472F"/>
    <w:rsid w:val="005162E8"/>
    <w:rsid w:val="00517B0E"/>
    <w:rsid w:val="00521CCC"/>
    <w:rsid w:val="00521F89"/>
    <w:rsid w:val="00522492"/>
    <w:rsid w:val="00522996"/>
    <w:rsid w:val="005246ED"/>
    <w:rsid w:val="0052544F"/>
    <w:rsid w:val="005256C5"/>
    <w:rsid w:val="00525C36"/>
    <w:rsid w:val="00526073"/>
    <w:rsid w:val="00526645"/>
    <w:rsid w:val="00526800"/>
    <w:rsid w:val="00527502"/>
    <w:rsid w:val="00527546"/>
    <w:rsid w:val="005277E5"/>
    <w:rsid w:val="00527A73"/>
    <w:rsid w:val="005301DA"/>
    <w:rsid w:val="00530C4B"/>
    <w:rsid w:val="00532678"/>
    <w:rsid w:val="00532A62"/>
    <w:rsid w:val="0053300D"/>
    <w:rsid w:val="0053350A"/>
    <w:rsid w:val="0053458A"/>
    <w:rsid w:val="00534F75"/>
    <w:rsid w:val="00535CE9"/>
    <w:rsid w:val="00535F7B"/>
    <w:rsid w:val="0053737A"/>
    <w:rsid w:val="0053768B"/>
    <w:rsid w:val="00540371"/>
    <w:rsid w:val="005425F2"/>
    <w:rsid w:val="00542603"/>
    <w:rsid w:val="00542D22"/>
    <w:rsid w:val="00543F47"/>
    <w:rsid w:val="00544538"/>
    <w:rsid w:val="0054563B"/>
    <w:rsid w:val="00546100"/>
    <w:rsid w:val="00546C3D"/>
    <w:rsid w:val="00550206"/>
    <w:rsid w:val="00551B82"/>
    <w:rsid w:val="00552FF6"/>
    <w:rsid w:val="005537B9"/>
    <w:rsid w:val="00554506"/>
    <w:rsid w:val="00555BC8"/>
    <w:rsid w:val="00555E34"/>
    <w:rsid w:val="005561D0"/>
    <w:rsid w:val="005566D6"/>
    <w:rsid w:val="0055683F"/>
    <w:rsid w:val="005568B4"/>
    <w:rsid w:val="00556F58"/>
    <w:rsid w:val="00557D26"/>
    <w:rsid w:val="005601AC"/>
    <w:rsid w:val="00560360"/>
    <w:rsid w:val="0056087A"/>
    <w:rsid w:val="00560F9F"/>
    <w:rsid w:val="005620F5"/>
    <w:rsid w:val="00562616"/>
    <w:rsid w:val="0056503C"/>
    <w:rsid w:val="00565D03"/>
    <w:rsid w:val="00565EAF"/>
    <w:rsid w:val="00566041"/>
    <w:rsid w:val="00566BF2"/>
    <w:rsid w:val="00567AAF"/>
    <w:rsid w:val="00567CB3"/>
    <w:rsid w:val="005702E8"/>
    <w:rsid w:val="005704D6"/>
    <w:rsid w:val="00570532"/>
    <w:rsid w:val="0057073A"/>
    <w:rsid w:val="00570889"/>
    <w:rsid w:val="00570A40"/>
    <w:rsid w:val="00570F80"/>
    <w:rsid w:val="005717F3"/>
    <w:rsid w:val="00571AE8"/>
    <w:rsid w:val="00572BBF"/>
    <w:rsid w:val="005740C3"/>
    <w:rsid w:val="00574128"/>
    <w:rsid w:val="0057423A"/>
    <w:rsid w:val="0057725B"/>
    <w:rsid w:val="0057757A"/>
    <w:rsid w:val="005778D3"/>
    <w:rsid w:val="00581B52"/>
    <w:rsid w:val="00581E76"/>
    <w:rsid w:val="0058212C"/>
    <w:rsid w:val="0058223D"/>
    <w:rsid w:val="0058364E"/>
    <w:rsid w:val="0058391C"/>
    <w:rsid w:val="00585500"/>
    <w:rsid w:val="0058583D"/>
    <w:rsid w:val="0058762D"/>
    <w:rsid w:val="00587A57"/>
    <w:rsid w:val="00587E81"/>
    <w:rsid w:val="00590003"/>
    <w:rsid w:val="00590375"/>
    <w:rsid w:val="005908D6"/>
    <w:rsid w:val="00590914"/>
    <w:rsid w:val="00590E4F"/>
    <w:rsid w:val="00591070"/>
    <w:rsid w:val="0059580E"/>
    <w:rsid w:val="00595A73"/>
    <w:rsid w:val="005960AD"/>
    <w:rsid w:val="005971F7"/>
    <w:rsid w:val="005A063F"/>
    <w:rsid w:val="005A0CD8"/>
    <w:rsid w:val="005A263B"/>
    <w:rsid w:val="005A3202"/>
    <w:rsid w:val="005A3216"/>
    <w:rsid w:val="005A3ACC"/>
    <w:rsid w:val="005A48E8"/>
    <w:rsid w:val="005A58CB"/>
    <w:rsid w:val="005A5C41"/>
    <w:rsid w:val="005A5F8C"/>
    <w:rsid w:val="005A682B"/>
    <w:rsid w:val="005A71A8"/>
    <w:rsid w:val="005A7CA1"/>
    <w:rsid w:val="005B0147"/>
    <w:rsid w:val="005B331C"/>
    <w:rsid w:val="005B3BAA"/>
    <w:rsid w:val="005B3BF8"/>
    <w:rsid w:val="005B4459"/>
    <w:rsid w:val="005B5690"/>
    <w:rsid w:val="005B58B0"/>
    <w:rsid w:val="005B6AE6"/>
    <w:rsid w:val="005B7090"/>
    <w:rsid w:val="005B7272"/>
    <w:rsid w:val="005B7E7D"/>
    <w:rsid w:val="005C0891"/>
    <w:rsid w:val="005C19FA"/>
    <w:rsid w:val="005C2772"/>
    <w:rsid w:val="005C29BA"/>
    <w:rsid w:val="005C5163"/>
    <w:rsid w:val="005C716E"/>
    <w:rsid w:val="005D0358"/>
    <w:rsid w:val="005D1335"/>
    <w:rsid w:val="005D1C33"/>
    <w:rsid w:val="005D238C"/>
    <w:rsid w:val="005D3403"/>
    <w:rsid w:val="005D5AC8"/>
    <w:rsid w:val="005D636B"/>
    <w:rsid w:val="005D7171"/>
    <w:rsid w:val="005D7B22"/>
    <w:rsid w:val="005D7E08"/>
    <w:rsid w:val="005D7EA8"/>
    <w:rsid w:val="005E343F"/>
    <w:rsid w:val="005E40F9"/>
    <w:rsid w:val="005E496D"/>
    <w:rsid w:val="005E51EE"/>
    <w:rsid w:val="005E5261"/>
    <w:rsid w:val="005E5680"/>
    <w:rsid w:val="005E5AA6"/>
    <w:rsid w:val="005E5BBD"/>
    <w:rsid w:val="005E5E93"/>
    <w:rsid w:val="005E6916"/>
    <w:rsid w:val="005E702D"/>
    <w:rsid w:val="005E7905"/>
    <w:rsid w:val="005F00D2"/>
    <w:rsid w:val="005F0FD7"/>
    <w:rsid w:val="005F110E"/>
    <w:rsid w:val="005F1E8B"/>
    <w:rsid w:val="005F2315"/>
    <w:rsid w:val="005F3036"/>
    <w:rsid w:val="005F37CE"/>
    <w:rsid w:val="005F383A"/>
    <w:rsid w:val="005F3BBA"/>
    <w:rsid w:val="005F4C41"/>
    <w:rsid w:val="005F506A"/>
    <w:rsid w:val="005F59E4"/>
    <w:rsid w:val="005F7D54"/>
    <w:rsid w:val="0060032A"/>
    <w:rsid w:val="00600BD7"/>
    <w:rsid w:val="00600E47"/>
    <w:rsid w:val="0060204D"/>
    <w:rsid w:val="00603DB6"/>
    <w:rsid w:val="00604508"/>
    <w:rsid w:val="00606395"/>
    <w:rsid w:val="00606EAE"/>
    <w:rsid w:val="006074C0"/>
    <w:rsid w:val="006116E7"/>
    <w:rsid w:val="00611ED4"/>
    <w:rsid w:val="00611F98"/>
    <w:rsid w:val="006131C4"/>
    <w:rsid w:val="00613538"/>
    <w:rsid w:val="00613A40"/>
    <w:rsid w:val="006145F7"/>
    <w:rsid w:val="00615878"/>
    <w:rsid w:val="00615FDA"/>
    <w:rsid w:val="006161DA"/>
    <w:rsid w:val="0061667C"/>
    <w:rsid w:val="00616F86"/>
    <w:rsid w:val="00617314"/>
    <w:rsid w:val="00617C5B"/>
    <w:rsid w:val="0062139B"/>
    <w:rsid w:val="0062211F"/>
    <w:rsid w:val="0062229E"/>
    <w:rsid w:val="006224EB"/>
    <w:rsid w:val="006225A4"/>
    <w:rsid w:val="006243AB"/>
    <w:rsid w:val="00625A76"/>
    <w:rsid w:val="00625C4E"/>
    <w:rsid w:val="00626470"/>
    <w:rsid w:val="00626D17"/>
    <w:rsid w:val="00627B8B"/>
    <w:rsid w:val="00627F50"/>
    <w:rsid w:val="006305C4"/>
    <w:rsid w:val="00630F0B"/>
    <w:rsid w:val="006313A3"/>
    <w:rsid w:val="0063288B"/>
    <w:rsid w:val="0063289E"/>
    <w:rsid w:val="006335F0"/>
    <w:rsid w:val="0063453D"/>
    <w:rsid w:val="006356C5"/>
    <w:rsid w:val="006358B4"/>
    <w:rsid w:val="006361B4"/>
    <w:rsid w:val="0063711F"/>
    <w:rsid w:val="00637959"/>
    <w:rsid w:val="006379D0"/>
    <w:rsid w:val="00640193"/>
    <w:rsid w:val="00640904"/>
    <w:rsid w:val="00641A20"/>
    <w:rsid w:val="00642211"/>
    <w:rsid w:val="006429C1"/>
    <w:rsid w:val="00642A4E"/>
    <w:rsid w:val="00643F1B"/>
    <w:rsid w:val="00644401"/>
    <w:rsid w:val="00645158"/>
    <w:rsid w:val="006462EB"/>
    <w:rsid w:val="00646FCE"/>
    <w:rsid w:val="00651D8F"/>
    <w:rsid w:val="00652AD0"/>
    <w:rsid w:val="006542F9"/>
    <w:rsid w:val="006545C4"/>
    <w:rsid w:val="00654CD9"/>
    <w:rsid w:val="006553F0"/>
    <w:rsid w:val="0065582A"/>
    <w:rsid w:val="00655E92"/>
    <w:rsid w:val="0065625E"/>
    <w:rsid w:val="00657938"/>
    <w:rsid w:val="00657A74"/>
    <w:rsid w:val="00660868"/>
    <w:rsid w:val="0066143E"/>
    <w:rsid w:val="006614EB"/>
    <w:rsid w:val="00661516"/>
    <w:rsid w:val="006622FB"/>
    <w:rsid w:val="006633D7"/>
    <w:rsid w:val="00663E0F"/>
    <w:rsid w:val="0066405B"/>
    <w:rsid w:val="00664239"/>
    <w:rsid w:val="00664572"/>
    <w:rsid w:val="00664B6A"/>
    <w:rsid w:val="00664BFF"/>
    <w:rsid w:val="00664D1B"/>
    <w:rsid w:val="0066517E"/>
    <w:rsid w:val="00665DC3"/>
    <w:rsid w:val="00666317"/>
    <w:rsid w:val="006667F3"/>
    <w:rsid w:val="00666B9B"/>
    <w:rsid w:val="00667399"/>
    <w:rsid w:val="0066794F"/>
    <w:rsid w:val="00670146"/>
    <w:rsid w:val="006705F8"/>
    <w:rsid w:val="0067081B"/>
    <w:rsid w:val="00670E78"/>
    <w:rsid w:val="00670F1A"/>
    <w:rsid w:val="0067192A"/>
    <w:rsid w:val="00671CC2"/>
    <w:rsid w:val="00674524"/>
    <w:rsid w:val="00676A9D"/>
    <w:rsid w:val="00677919"/>
    <w:rsid w:val="00677B9F"/>
    <w:rsid w:val="00680CA8"/>
    <w:rsid w:val="00680CDC"/>
    <w:rsid w:val="0068114C"/>
    <w:rsid w:val="00681B81"/>
    <w:rsid w:val="006822B6"/>
    <w:rsid w:val="00682AD4"/>
    <w:rsid w:val="00682B3D"/>
    <w:rsid w:val="0068316D"/>
    <w:rsid w:val="0068375C"/>
    <w:rsid w:val="006841CE"/>
    <w:rsid w:val="00684EAF"/>
    <w:rsid w:val="00685CE7"/>
    <w:rsid w:val="006862ED"/>
    <w:rsid w:val="006865F1"/>
    <w:rsid w:val="00686CAC"/>
    <w:rsid w:val="00686E70"/>
    <w:rsid w:val="00687FCA"/>
    <w:rsid w:val="006909B4"/>
    <w:rsid w:val="00691C85"/>
    <w:rsid w:val="00691FB0"/>
    <w:rsid w:val="00692E90"/>
    <w:rsid w:val="006941CE"/>
    <w:rsid w:val="00695267"/>
    <w:rsid w:val="00696153"/>
    <w:rsid w:val="00696175"/>
    <w:rsid w:val="006A0231"/>
    <w:rsid w:val="006A0DDE"/>
    <w:rsid w:val="006A1431"/>
    <w:rsid w:val="006A145B"/>
    <w:rsid w:val="006A1EB0"/>
    <w:rsid w:val="006A2076"/>
    <w:rsid w:val="006A2B79"/>
    <w:rsid w:val="006A2C1A"/>
    <w:rsid w:val="006A33C9"/>
    <w:rsid w:val="006A36A1"/>
    <w:rsid w:val="006A38B1"/>
    <w:rsid w:val="006A3995"/>
    <w:rsid w:val="006A3F2D"/>
    <w:rsid w:val="006A45E8"/>
    <w:rsid w:val="006A4681"/>
    <w:rsid w:val="006A4A31"/>
    <w:rsid w:val="006A4A7C"/>
    <w:rsid w:val="006A60BD"/>
    <w:rsid w:val="006A6CDD"/>
    <w:rsid w:val="006B16EA"/>
    <w:rsid w:val="006B1ECF"/>
    <w:rsid w:val="006B3517"/>
    <w:rsid w:val="006B3B62"/>
    <w:rsid w:val="006B3DD7"/>
    <w:rsid w:val="006B3ED5"/>
    <w:rsid w:val="006B41C7"/>
    <w:rsid w:val="006B4252"/>
    <w:rsid w:val="006B4352"/>
    <w:rsid w:val="006B4BE1"/>
    <w:rsid w:val="006B613D"/>
    <w:rsid w:val="006C0442"/>
    <w:rsid w:val="006C309C"/>
    <w:rsid w:val="006C454F"/>
    <w:rsid w:val="006C5447"/>
    <w:rsid w:val="006C5A2C"/>
    <w:rsid w:val="006C6CB8"/>
    <w:rsid w:val="006C704D"/>
    <w:rsid w:val="006D0812"/>
    <w:rsid w:val="006D0E46"/>
    <w:rsid w:val="006D23D6"/>
    <w:rsid w:val="006D30FC"/>
    <w:rsid w:val="006D3744"/>
    <w:rsid w:val="006D37E8"/>
    <w:rsid w:val="006D3AC0"/>
    <w:rsid w:val="006D4102"/>
    <w:rsid w:val="006D44DC"/>
    <w:rsid w:val="006D512A"/>
    <w:rsid w:val="006D53B8"/>
    <w:rsid w:val="006D5C1D"/>
    <w:rsid w:val="006D7FCF"/>
    <w:rsid w:val="006E058C"/>
    <w:rsid w:val="006E0973"/>
    <w:rsid w:val="006E1C10"/>
    <w:rsid w:val="006E212F"/>
    <w:rsid w:val="006E246C"/>
    <w:rsid w:val="006E2F3C"/>
    <w:rsid w:val="006E38D9"/>
    <w:rsid w:val="006E3B62"/>
    <w:rsid w:val="006E4326"/>
    <w:rsid w:val="006E4C73"/>
    <w:rsid w:val="006E4D02"/>
    <w:rsid w:val="006E5979"/>
    <w:rsid w:val="006E5CF2"/>
    <w:rsid w:val="006E6FE5"/>
    <w:rsid w:val="006F02C3"/>
    <w:rsid w:val="006F19A2"/>
    <w:rsid w:val="006F1A8F"/>
    <w:rsid w:val="006F1F9B"/>
    <w:rsid w:val="006F25EF"/>
    <w:rsid w:val="006F5851"/>
    <w:rsid w:val="006F68CA"/>
    <w:rsid w:val="006F6F1F"/>
    <w:rsid w:val="006F7C86"/>
    <w:rsid w:val="00701A6B"/>
    <w:rsid w:val="00702D9C"/>
    <w:rsid w:val="00704660"/>
    <w:rsid w:val="00704B98"/>
    <w:rsid w:val="00705C0B"/>
    <w:rsid w:val="00705F51"/>
    <w:rsid w:val="00707A61"/>
    <w:rsid w:val="00707F0E"/>
    <w:rsid w:val="0071008E"/>
    <w:rsid w:val="00712CB2"/>
    <w:rsid w:val="007138D1"/>
    <w:rsid w:val="00714446"/>
    <w:rsid w:val="0071463C"/>
    <w:rsid w:val="007158DA"/>
    <w:rsid w:val="0071629B"/>
    <w:rsid w:val="00716447"/>
    <w:rsid w:val="00716803"/>
    <w:rsid w:val="00716CC8"/>
    <w:rsid w:val="0071758E"/>
    <w:rsid w:val="007178D3"/>
    <w:rsid w:val="00720E27"/>
    <w:rsid w:val="007213ED"/>
    <w:rsid w:val="007216C8"/>
    <w:rsid w:val="007220E4"/>
    <w:rsid w:val="00722133"/>
    <w:rsid w:val="00722284"/>
    <w:rsid w:val="007233DF"/>
    <w:rsid w:val="007238FD"/>
    <w:rsid w:val="00723A1D"/>
    <w:rsid w:val="0072415B"/>
    <w:rsid w:val="00725692"/>
    <w:rsid w:val="00725E06"/>
    <w:rsid w:val="007266EC"/>
    <w:rsid w:val="0072676C"/>
    <w:rsid w:val="00726B0E"/>
    <w:rsid w:val="007309C5"/>
    <w:rsid w:val="00731736"/>
    <w:rsid w:val="00732269"/>
    <w:rsid w:val="00732407"/>
    <w:rsid w:val="007326D9"/>
    <w:rsid w:val="0073318C"/>
    <w:rsid w:val="00733363"/>
    <w:rsid w:val="0073350C"/>
    <w:rsid w:val="00733E23"/>
    <w:rsid w:val="007359AC"/>
    <w:rsid w:val="00735A20"/>
    <w:rsid w:val="00735FF9"/>
    <w:rsid w:val="00737519"/>
    <w:rsid w:val="00737DEB"/>
    <w:rsid w:val="007404BA"/>
    <w:rsid w:val="00740EE9"/>
    <w:rsid w:val="007425DC"/>
    <w:rsid w:val="00743480"/>
    <w:rsid w:val="00743619"/>
    <w:rsid w:val="00744D40"/>
    <w:rsid w:val="007464FD"/>
    <w:rsid w:val="00751314"/>
    <w:rsid w:val="007524F6"/>
    <w:rsid w:val="00752779"/>
    <w:rsid w:val="00752A64"/>
    <w:rsid w:val="0075319E"/>
    <w:rsid w:val="00753315"/>
    <w:rsid w:val="00753F1D"/>
    <w:rsid w:val="007541C7"/>
    <w:rsid w:val="007542A6"/>
    <w:rsid w:val="00754FF5"/>
    <w:rsid w:val="0075583A"/>
    <w:rsid w:val="007562A3"/>
    <w:rsid w:val="00757318"/>
    <w:rsid w:val="0075749F"/>
    <w:rsid w:val="007600E7"/>
    <w:rsid w:val="0076055E"/>
    <w:rsid w:val="007644F6"/>
    <w:rsid w:val="00764D39"/>
    <w:rsid w:val="007656D2"/>
    <w:rsid w:val="00765710"/>
    <w:rsid w:val="007672B6"/>
    <w:rsid w:val="007672F3"/>
    <w:rsid w:val="00767525"/>
    <w:rsid w:val="007725A9"/>
    <w:rsid w:val="00772E22"/>
    <w:rsid w:val="007737DD"/>
    <w:rsid w:val="0077392F"/>
    <w:rsid w:val="00773DA0"/>
    <w:rsid w:val="00774543"/>
    <w:rsid w:val="00774C65"/>
    <w:rsid w:val="00775746"/>
    <w:rsid w:val="007757F9"/>
    <w:rsid w:val="0077621F"/>
    <w:rsid w:val="00776757"/>
    <w:rsid w:val="00776D15"/>
    <w:rsid w:val="00776DBA"/>
    <w:rsid w:val="00777EBF"/>
    <w:rsid w:val="00777F04"/>
    <w:rsid w:val="0078021D"/>
    <w:rsid w:val="00780225"/>
    <w:rsid w:val="007805AD"/>
    <w:rsid w:val="0078170C"/>
    <w:rsid w:val="007818BE"/>
    <w:rsid w:val="0078208D"/>
    <w:rsid w:val="00782CBE"/>
    <w:rsid w:val="007834D2"/>
    <w:rsid w:val="007836EE"/>
    <w:rsid w:val="007840AC"/>
    <w:rsid w:val="0078429A"/>
    <w:rsid w:val="0078449C"/>
    <w:rsid w:val="0078548A"/>
    <w:rsid w:val="007859D0"/>
    <w:rsid w:val="00786034"/>
    <w:rsid w:val="00786E40"/>
    <w:rsid w:val="007876BB"/>
    <w:rsid w:val="00787BD4"/>
    <w:rsid w:val="00790424"/>
    <w:rsid w:val="00790D8B"/>
    <w:rsid w:val="00791158"/>
    <w:rsid w:val="00794998"/>
    <w:rsid w:val="00795A72"/>
    <w:rsid w:val="00795E91"/>
    <w:rsid w:val="0079613E"/>
    <w:rsid w:val="007962D8"/>
    <w:rsid w:val="00797884"/>
    <w:rsid w:val="007A0EFF"/>
    <w:rsid w:val="007A128E"/>
    <w:rsid w:val="007A1849"/>
    <w:rsid w:val="007A1B41"/>
    <w:rsid w:val="007A20C2"/>
    <w:rsid w:val="007A2598"/>
    <w:rsid w:val="007A26AE"/>
    <w:rsid w:val="007A2D85"/>
    <w:rsid w:val="007A3C90"/>
    <w:rsid w:val="007A49DA"/>
    <w:rsid w:val="007A5A8B"/>
    <w:rsid w:val="007A6E35"/>
    <w:rsid w:val="007A7487"/>
    <w:rsid w:val="007A767A"/>
    <w:rsid w:val="007A78E6"/>
    <w:rsid w:val="007A7FA3"/>
    <w:rsid w:val="007B094B"/>
    <w:rsid w:val="007B0DB3"/>
    <w:rsid w:val="007B1329"/>
    <w:rsid w:val="007B1D48"/>
    <w:rsid w:val="007B39A3"/>
    <w:rsid w:val="007B3ACE"/>
    <w:rsid w:val="007B3F5D"/>
    <w:rsid w:val="007B4017"/>
    <w:rsid w:val="007B4BBE"/>
    <w:rsid w:val="007B56D7"/>
    <w:rsid w:val="007B577A"/>
    <w:rsid w:val="007B5DDF"/>
    <w:rsid w:val="007B5E0F"/>
    <w:rsid w:val="007B5F94"/>
    <w:rsid w:val="007B63F5"/>
    <w:rsid w:val="007B6C38"/>
    <w:rsid w:val="007B73A1"/>
    <w:rsid w:val="007B76A1"/>
    <w:rsid w:val="007C00F6"/>
    <w:rsid w:val="007C0E34"/>
    <w:rsid w:val="007C11A1"/>
    <w:rsid w:val="007C1A92"/>
    <w:rsid w:val="007C1FAD"/>
    <w:rsid w:val="007C2206"/>
    <w:rsid w:val="007C2CBD"/>
    <w:rsid w:val="007C5167"/>
    <w:rsid w:val="007C530E"/>
    <w:rsid w:val="007C5529"/>
    <w:rsid w:val="007C670A"/>
    <w:rsid w:val="007C6CF8"/>
    <w:rsid w:val="007C7298"/>
    <w:rsid w:val="007C76C0"/>
    <w:rsid w:val="007D0288"/>
    <w:rsid w:val="007D24F5"/>
    <w:rsid w:val="007D30BE"/>
    <w:rsid w:val="007D3B4F"/>
    <w:rsid w:val="007D3C11"/>
    <w:rsid w:val="007D4637"/>
    <w:rsid w:val="007D50BD"/>
    <w:rsid w:val="007D532C"/>
    <w:rsid w:val="007D67D9"/>
    <w:rsid w:val="007D6B15"/>
    <w:rsid w:val="007D719B"/>
    <w:rsid w:val="007D71A0"/>
    <w:rsid w:val="007D7FF9"/>
    <w:rsid w:val="007E036B"/>
    <w:rsid w:val="007E0DC7"/>
    <w:rsid w:val="007E12DF"/>
    <w:rsid w:val="007E1377"/>
    <w:rsid w:val="007E1E35"/>
    <w:rsid w:val="007E2C01"/>
    <w:rsid w:val="007E2EDE"/>
    <w:rsid w:val="007E35EB"/>
    <w:rsid w:val="007E50E5"/>
    <w:rsid w:val="007E50FC"/>
    <w:rsid w:val="007E51D6"/>
    <w:rsid w:val="007E77F0"/>
    <w:rsid w:val="007F0409"/>
    <w:rsid w:val="007F06B3"/>
    <w:rsid w:val="007F08E7"/>
    <w:rsid w:val="007F0DFA"/>
    <w:rsid w:val="007F11CD"/>
    <w:rsid w:val="007F1DD0"/>
    <w:rsid w:val="007F2B20"/>
    <w:rsid w:val="007F2BAC"/>
    <w:rsid w:val="007F34F5"/>
    <w:rsid w:val="007F3854"/>
    <w:rsid w:val="007F3EFC"/>
    <w:rsid w:val="007F5AEE"/>
    <w:rsid w:val="007F614E"/>
    <w:rsid w:val="007F7306"/>
    <w:rsid w:val="00800D10"/>
    <w:rsid w:val="00801300"/>
    <w:rsid w:val="00801841"/>
    <w:rsid w:val="00801DC1"/>
    <w:rsid w:val="0080237C"/>
    <w:rsid w:val="00802893"/>
    <w:rsid w:val="00802CF1"/>
    <w:rsid w:val="0080320C"/>
    <w:rsid w:val="008036E2"/>
    <w:rsid w:val="00804039"/>
    <w:rsid w:val="00804432"/>
    <w:rsid w:val="00804484"/>
    <w:rsid w:val="008046E0"/>
    <w:rsid w:val="00804795"/>
    <w:rsid w:val="00805299"/>
    <w:rsid w:val="00806AE0"/>
    <w:rsid w:val="00806FBC"/>
    <w:rsid w:val="008109EA"/>
    <w:rsid w:val="00811474"/>
    <w:rsid w:val="0081167D"/>
    <w:rsid w:val="00811682"/>
    <w:rsid w:val="00811A29"/>
    <w:rsid w:val="00811C2E"/>
    <w:rsid w:val="008121C0"/>
    <w:rsid w:val="00813218"/>
    <w:rsid w:val="008136EE"/>
    <w:rsid w:val="00814FBA"/>
    <w:rsid w:val="00815107"/>
    <w:rsid w:val="00816669"/>
    <w:rsid w:val="00817351"/>
    <w:rsid w:val="00817D27"/>
    <w:rsid w:val="00821381"/>
    <w:rsid w:val="008215B6"/>
    <w:rsid w:val="00821FE4"/>
    <w:rsid w:val="008221D3"/>
    <w:rsid w:val="0082259B"/>
    <w:rsid w:val="00822677"/>
    <w:rsid w:val="008230C5"/>
    <w:rsid w:val="00823B7A"/>
    <w:rsid w:val="00824447"/>
    <w:rsid w:val="0082510E"/>
    <w:rsid w:val="008256EB"/>
    <w:rsid w:val="0082578E"/>
    <w:rsid w:val="008269A9"/>
    <w:rsid w:val="008301AD"/>
    <w:rsid w:val="0083068D"/>
    <w:rsid w:val="008308A7"/>
    <w:rsid w:val="008317CC"/>
    <w:rsid w:val="0083345F"/>
    <w:rsid w:val="008334CD"/>
    <w:rsid w:val="00833B3C"/>
    <w:rsid w:val="00834AE0"/>
    <w:rsid w:val="00834D4F"/>
    <w:rsid w:val="008350BB"/>
    <w:rsid w:val="0083653B"/>
    <w:rsid w:val="00836E08"/>
    <w:rsid w:val="00837B30"/>
    <w:rsid w:val="00837BE9"/>
    <w:rsid w:val="00840317"/>
    <w:rsid w:val="00840D24"/>
    <w:rsid w:val="0084192D"/>
    <w:rsid w:val="00841B4F"/>
    <w:rsid w:val="0084212C"/>
    <w:rsid w:val="00842843"/>
    <w:rsid w:val="008434D8"/>
    <w:rsid w:val="00843985"/>
    <w:rsid w:val="0084490C"/>
    <w:rsid w:val="00845266"/>
    <w:rsid w:val="0084538E"/>
    <w:rsid w:val="00845415"/>
    <w:rsid w:val="00845423"/>
    <w:rsid w:val="00845B23"/>
    <w:rsid w:val="00846E2D"/>
    <w:rsid w:val="0085148F"/>
    <w:rsid w:val="008526E5"/>
    <w:rsid w:val="00852712"/>
    <w:rsid w:val="008536D5"/>
    <w:rsid w:val="00854433"/>
    <w:rsid w:val="00854C7D"/>
    <w:rsid w:val="008559B5"/>
    <w:rsid w:val="00860039"/>
    <w:rsid w:val="0086063C"/>
    <w:rsid w:val="008617E4"/>
    <w:rsid w:val="0086372F"/>
    <w:rsid w:val="0086433A"/>
    <w:rsid w:val="00864A67"/>
    <w:rsid w:val="00865584"/>
    <w:rsid w:val="00865A63"/>
    <w:rsid w:val="00865B42"/>
    <w:rsid w:val="00865F05"/>
    <w:rsid w:val="0086770E"/>
    <w:rsid w:val="00867970"/>
    <w:rsid w:val="00867AD2"/>
    <w:rsid w:val="00867DA3"/>
    <w:rsid w:val="00870C95"/>
    <w:rsid w:val="00871932"/>
    <w:rsid w:val="00871F7B"/>
    <w:rsid w:val="0087221B"/>
    <w:rsid w:val="00873B0F"/>
    <w:rsid w:val="008742C1"/>
    <w:rsid w:val="00875371"/>
    <w:rsid w:val="00876476"/>
    <w:rsid w:val="00877FCB"/>
    <w:rsid w:val="00880623"/>
    <w:rsid w:val="00880797"/>
    <w:rsid w:val="00880815"/>
    <w:rsid w:val="00880E21"/>
    <w:rsid w:val="00881A1F"/>
    <w:rsid w:val="00882B4E"/>
    <w:rsid w:val="00882EB6"/>
    <w:rsid w:val="0088324A"/>
    <w:rsid w:val="00883699"/>
    <w:rsid w:val="00884455"/>
    <w:rsid w:val="008854B7"/>
    <w:rsid w:val="008860F3"/>
    <w:rsid w:val="00890862"/>
    <w:rsid w:val="008911E0"/>
    <w:rsid w:val="0089202B"/>
    <w:rsid w:val="008928FA"/>
    <w:rsid w:val="00892BDE"/>
    <w:rsid w:val="00893230"/>
    <w:rsid w:val="00895B3E"/>
    <w:rsid w:val="00895CF1"/>
    <w:rsid w:val="00896A2C"/>
    <w:rsid w:val="008973C8"/>
    <w:rsid w:val="008A0539"/>
    <w:rsid w:val="008A0BBE"/>
    <w:rsid w:val="008A194C"/>
    <w:rsid w:val="008A314F"/>
    <w:rsid w:val="008A472D"/>
    <w:rsid w:val="008A528E"/>
    <w:rsid w:val="008A6C96"/>
    <w:rsid w:val="008A6CDC"/>
    <w:rsid w:val="008B0344"/>
    <w:rsid w:val="008B1280"/>
    <w:rsid w:val="008B161A"/>
    <w:rsid w:val="008B2134"/>
    <w:rsid w:val="008B2ECE"/>
    <w:rsid w:val="008B359A"/>
    <w:rsid w:val="008B3CA4"/>
    <w:rsid w:val="008B3DB8"/>
    <w:rsid w:val="008B46EF"/>
    <w:rsid w:val="008B4BF4"/>
    <w:rsid w:val="008B6DAD"/>
    <w:rsid w:val="008B79D5"/>
    <w:rsid w:val="008C0206"/>
    <w:rsid w:val="008C1692"/>
    <w:rsid w:val="008C1A9A"/>
    <w:rsid w:val="008C2860"/>
    <w:rsid w:val="008C3D0B"/>
    <w:rsid w:val="008C41D2"/>
    <w:rsid w:val="008C5045"/>
    <w:rsid w:val="008C5B9D"/>
    <w:rsid w:val="008C5C8E"/>
    <w:rsid w:val="008C6597"/>
    <w:rsid w:val="008C7E47"/>
    <w:rsid w:val="008C7F54"/>
    <w:rsid w:val="008D096F"/>
    <w:rsid w:val="008D09D4"/>
    <w:rsid w:val="008D0A01"/>
    <w:rsid w:val="008D0AD8"/>
    <w:rsid w:val="008D0F99"/>
    <w:rsid w:val="008D109B"/>
    <w:rsid w:val="008D1D3B"/>
    <w:rsid w:val="008D2C4A"/>
    <w:rsid w:val="008D406E"/>
    <w:rsid w:val="008D43CE"/>
    <w:rsid w:val="008D45C3"/>
    <w:rsid w:val="008D4CAC"/>
    <w:rsid w:val="008D4EDD"/>
    <w:rsid w:val="008D5216"/>
    <w:rsid w:val="008D570B"/>
    <w:rsid w:val="008D628B"/>
    <w:rsid w:val="008D6CCE"/>
    <w:rsid w:val="008D78F5"/>
    <w:rsid w:val="008D7FAA"/>
    <w:rsid w:val="008E0900"/>
    <w:rsid w:val="008E1133"/>
    <w:rsid w:val="008E1BBC"/>
    <w:rsid w:val="008E3184"/>
    <w:rsid w:val="008E32DC"/>
    <w:rsid w:val="008E363F"/>
    <w:rsid w:val="008E3ED6"/>
    <w:rsid w:val="008E4E5E"/>
    <w:rsid w:val="008E6279"/>
    <w:rsid w:val="008E6379"/>
    <w:rsid w:val="008E6F80"/>
    <w:rsid w:val="008F2F15"/>
    <w:rsid w:val="008F33BB"/>
    <w:rsid w:val="008F34A1"/>
    <w:rsid w:val="008F3EDA"/>
    <w:rsid w:val="008F4C61"/>
    <w:rsid w:val="008F4E69"/>
    <w:rsid w:val="008F52F7"/>
    <w:rsid w:val="008F537B"/>
    <w:rsid w:val="008F712F"/>
    <w:rsid w:val="008F7465"/>
    <w:rsid w:val="0090021A"/>
    <w:rsid w:val="009019A3"/>
    <w:rsid w:val="00903685"/>
    <w:rsid w:val="00903A5A"/>
    <w:rsid w:val="00903B3D"/>
    <w:rsid w:val="00904226"/>
    <w:rsid w:val="009053B0"/>
    <w:rsid w:val="0090642E"/>
    <w:rsid w:val="009069B7"/>
    <w:rsid w:val="00906D3D"/>
    <w:rsid w:val="0090719C"/>
    <w:rsid w:val="00907890"/>
    <w:rsid w:val="00907924"/>
    <w:rsid w:val="00907CFF"/>
    <w:rsid w:val="009104E5"/>
    <w:rsid w:val="00910D02"/>
    <w:rsid w:val="009112BF"/>
    <w:rsid w:val="009114FC"/>
    <w:rsid w:val="0091178C"/>
    <w:rsid w:val="00913A10"/>
    <w:rsid w:val="00913BE5"/>
    <w:rsid w:val="00914153"/>
    <w:rsid w:val="00915E2A"/>
    <w:rsid w:val="00916417"/>
    <w:rsid w:val="0091765C"/>
    <w:rsid w:val="00920569"/>
    <w:rsid w:val="009217E4"/>
    <w:rsid w:val="0092198B"/>
    <w:rsid w:val="0092233C"/>
    <w:rsid w:val="00923B30"/>
    <w:rsid w:val="00924A95"/>
    <w:rsid w:val="00926406"/>
    <w:rsid w:val="00927F11"/>
    <w:rsid w:val="009301B6"/>
    <w:rsid w:val="00930745"/>
    <w:rsid w:val="00930CBF"/>
    <w:rsid w:val="00932228"/>
    <w:rsid w:val="0093238E"/>
    <w:rsid w:val="00932C73"/>
    <w:rsid w:val="00932CC6"/>
    <w:rsid w:val="00933072"/>
    <w:rsid w:val="00935138"/>
    <w:rsid w:val="009356E9"/>
    <w:rsid w:val="0093700F"/>
    <w:rsid w:val="009374E2"/>
    <w:rsid w:val="0093791E"/>
    <w:rsid w:val="00940595"/>
    <w:rsid w:val="00940B71"/>
    <w:rsid w:val="00941621"/>
    <w:rsid w:val="009430C9"/>
    <w:rsid w:val="00943402"/>
    <w:rsid w:val="00944581"/>
    <w:rsid w:val="009448D1"/>
    <w:rsid w:val="0094492D"/>
    <w:rsid w:val="009451ED"/>
    <w:rsid w:val="00945367"/>
    <w:rsid w:val="00946684"/>
    <w:rsid w:val="0094774B"/>
    <w:rsid w:val="00947A1F"/>
    <w:rsid w:val="00947C8F"/>
    <w:rsid w:val="0095171A"/>
    <w:rsid w:val="009552AE"/>
    <w:rsid w:val="0095564F"/>
    <w:rsid w:val="00955739"/>
    <w:rsid w:val="0095655B"/>
    <w:rsid w:val="00956BD0"/>
    <w:rsid w:val="0095773E"/>
    <w:rsid w:val="00957F6A"/>
    <w:rsid w:val="009607FB"/>
    <w:rsid w:val="00960BBB"/>
    <w:rsid w:val="00961311"/>
    <w:rsid w:val="00961CED"/>
    <w:rsid w:val="00962621"/>
    <w:rsid w:val="009627FD"/>
    <w:rsid w:val="009653A3"/>
    <w:rsid w:val="009664AC"/>
    <w:rsid w:val="009673EF"/>
    <w:rsid w:val="00970CAA"/>
    <w:rsid w:val="00970DC8"/>
    <w:rsid w:val="00970F86"/>
    <w:rsid w:val="009716B6"/>
    <w:rsid w:val="00971F58"/>
    <w:rsid w:val="00972D0D"/>
    <w:rsid w:val="00973649"/>
    <w:rsid w:val="009749D8"/>
    <w:rsid w:val="009755F2"/>
    <w:rsid w:val="00976549"/>
    <w:rsid w:val="0097772E"/>
    <w:rsid w:val="00977A65"/>
    <w:rsid w:val="0098042E"/>
    <w:rsid w:val="0098385D"/>
    <w:rsid w:val="00983C20"/>
    <w:rsid w:val="009841EE"/>
    <w:rsid w:val="0098440C"/>
    <w:rsid w:val="00984D7A"/>
    <w:rsid w:val="009850B0"/>
    <w:rsid w:val="00985605"/>
    <w:rsid w:val="009860C1"/>
    <w:rsid w:val="00986351"/>
    <w:rsid w:val="00986EBC"/>
    <w:rsid w:val="009875FF"/>
    <w:rsid w:val="00990A54"/>
    <w:rsid w:val="00990C2C"/>
    <w:rsid w:val="00990F38"/>
    <w:rsid w:val="009932C1"/>
    <w:rsid w:val="00993814"/>
    <w:rsid w:val="009940D4"/>
    <w:rsid w:val="00994766"/>
    <w:rsid w:val="00995154"/>
    <w:rsid w:val="00996481"/>
    <w:rsid w:val="009964D9"/>
    <w:rsid w:val="00996CC0"/>
    <w:rsid w:val="00996D87"/>
    <w:rsid w:val="00996DF8"/>
    <w:rsid w:val="009A1B8C"/>
    <w:rsid w:val="009A2465"/>
    <w:rsid w:val="009A3192"/>
    <w:rsid w:val="009A3217"/>
    <w:rsid w:val="009A441D"/>
    <w:rsid w:val="009A464D"/>
    <w:rsid w:val="009A4A80"/>
    <w:rsid w:val="009A4DDC"/>
    <w:rsid w:val="009A4FF7"/>
    <w:rsid w:val="009A79F9"/>
    <w:rsid w:val="009B017A"/>
    <w:rsid w:val="009B0BDB"/>
    <w:rsid w:val="009B1664"/>
    <w:rsid w:val="009B1D5B"/>
    <w:rsid w:val="009B2052"/>
    <w:rsid w:val="009B3229"/>
    <w:rsid w:val="009B38D7"/>
    <w:rsid w:val="009B3A60"/>
    <w:rsid w:val="009B411D"/>
    <w:rsid w:val="009B4B51"/>
    <w:rsid w:val="009B522D"/>
    <w:rsid w:val="009B6026"/>
    <w:rsid w:val="009B67C3"/>
    <w:rsid w:val="009B7935"/>
    <w:rsid w:val="009C15D6"/>
    <w:rsid w:val="009C1773"/>
    <w:rsid w:val="009C1FBF"/>
    <w:rsid w:val="009C2F15"/>
    <w:rsid w:val="009C6BC4"/>
    <w:rsid w:val="009C6D33"/>
    <w:rsid w:val="009C7DDA"/>
    <w:rsid w:val="009D1FB6"/>
    <w:rsid w:val="009D20D9"/>
    <w:rsid w:val="009D222B"/>
    <w:rsid w:val="009D242D"/>
    <w:rsid w:val="009D260F"/>
    <w:rsid w:val="009D3486"/>
    <w:rsid w:val="009D4E28"/>
    <w:rsid w:val="009D5A10"/>
    <w:rsid w:val="009D5B88"/>
    <w:rsid w:val="009D6819"/>
    <w:rsid w:val="009D6FDB"/>
    <w:rsid w:val="009D7ACF"/>
    <w:rsid w:val="009E163D"/>
    <w:rsid w:val="009E38C6"/>
    <w:rsid w:val="009E50C5"/>
    <w:rsid w:val="009E6B15"/>
    <w:rsid w:val="009E6C7C"/>
    <w:rsid w:val="009E762B"/>
    <w:rsid w:val="009F1205"/>
    <w:rsid w:val="009F2191"/>
    <w:rsid w:val="009F2870"/>
    <w:rsid w:val="009F3B99"/>
    <w:rsid w:val="009F49A6"/>
    <w:rsid w:val="009F50D9"/>
    <w:rsid w:val="009F5477"/>
    <w:rsid w:val="009F63AE"/>
    <w:rsid w:val="009F6444"/>
    <w:rsid w:val="009F6DDA"/>
    <w:rsid w:val="009F7364"/>
    <w:rsid w:val="00A01182"/>
    <w:rsid w:val="00A011CD"/>
    <w:rsid w:val="00A02461"/>
    <w:rsid w:val="00A0246A"/>
    <w:rsid w:val="00A029A3"/>
    <w:rsid w:val="00A03C0A"/>
    <w:rsid w:val="00A03EA8"/>
    <w:rsid w:val="00A049D0"/>
    <w:rsid w:val="00A04B6E"/>
    <w:rsid w:val="00A05BFC"/>
    <w:rsid w:val="00A05EAC"/>
    <w:rsid w:val="00A0734C"/>
    <w:rsid w:val="00A1057F"/>
    <w:rsid w:val="00A1174F"/>
    <w:rsid w:val="00A11B69"/>
    <w:rsid w:val="00A13EEB"/>
    <w:rsid w:val="00A14623"/>
    <w:rsid w:val="00A15758"/>
    <w:rsid w:val="00A16613"/>
    <w:rsid w:val="00A169C6"/>
    <w:rsid w:val="00A17226"/>
    <w:rsid w:val="00A172DF"/>
    <w:rsid w:val="00A20CB9"/>
    <w:rsid w:val="00A217E6"/>
    <w:rsid w:val="00A221C3"/>
    <w:rsid w:val="00A24069"/>
    <w:rsid w:val="00A2475C"/>
    <w:rsid w:val="00A25B88"/>
    <w:rsid w:val="00A25E79"/>
    <w:rsid w:val="00A26F15"/>
    <w:rsid w:val="00A272D7"/>
    <w:rsid w:val="00A277DD"/>
    <w:rsid w:val="00A27DFF"/>
    <w:rsid w:val="00A27E77"/>
    <w:rsid w:val="00A3048C"/>
    <w:rsid w:val="00A30E10"/>
    <w:rsid w:val="00A317CA"/>
    <w:rsid w:val="00A31ACF"/>
    <w:rsid w:val="00A33C2A"/>
    <w:rsid w:val="00A33EA9"/>
    <w:rsid w:val="00A3419F"/>
    <w:rsid w:val="00A341D2"/>
    <w:rsid w:val="00A35904"/>
    <w:rsid w:val="00A3610E"/>
    <w:rsid w:val="00A369D2"/>
    <w:rsid w:val="00A36B75"/>
    <w:rsid w:val="00A36F63"/>
    <w:rsid w:val="00A37A40"/>
    <w:rsid w:val="00A40116"/>
    <w:rsid w:val="00A40261"/>
    <w:rsid w:val="00A41221"/>
    <w:rsid w:val="00A414B5"/>
    <w:rsid w:val="00A417B7"/>
    <w:rsid w:val="00A41A3A"/>
    <w:rsid w:val="00A421F5"/>
    <w:rsid w:val="00A42EDE"/>
    <w:rsid w:val="00A4356F"/>
    <w:rsid w:val="00A43756"/>
    <w:rsid w:val="00A43B53"/>
    <w:rsid w:val="00A44866"/>
    <w:rsid w:val="00A44B40"/>
    <w:rsid w:val="00A46484"/>
    <w:rsid w:val="00A46B8B"/>
    <w:rsid w:val="00A473BE"/>
    <w:rsid w:val="00A51C7C"/>
    <w:rsid w:val="00A53307"/>
    <w:rsid w:val="00A53614"/>
    <w:rsid w:val="00A544E5"/>
    <w:rsid w:val="00A54DEE"/>
    <w:rsid w:val="00A54E5A"/>
    <w:rsid w:val="00A564BE"/>
    <w:rsid w:val="00A566C7"/>
    <w:rsid w:val="00A56F16"/>
    <w:rsid w:val="00A61595"/>
    <w:rsid w:val="00A61FD9"/>
    <w:rsid w:val="00A63524"/>
    <w:rsid w:val="00A64E63"/>
    <w:rsid w:val="00A6532B"/>
    <w:rsid w:val="00A65420"/>
    <w:rsid w:val="00A65844"/>
    <w:rsid w:val="00A65AEA"/>
    <w:rsid w:val="00A666DE"/>
    <w:rsid w:val="00A66720"/>
    <w:rsid w:val="00A71024"/>
    <w:rsid w:val="00A714C1"/>
    <w:rsid w:val="00A72573"/>
    <w:rsid w:val="00A72779"/>
    <w:rsid w:val="00A730E7"/>
    <w:rsid w:val="00A7374C"/>
    <w:rsid w:val="00A739D8"/>
    <w:rsid w:val="00A75802"/>
    <w:rsid w:val="00A75DFD"/>
    <w:rsid w:val="00A7724D"/>
    <w:rsid w:val="00A77EE4"/>
    <w:rsid w:val="00A80C87"/>
    <w:rsid w:val="00A8135E"/>
    <w:rsid w:val="00A815FB"/>
    <w:rsid w:val="00A8218A"/>
    <w:rsid w:val="00A8270D"/>
    <w:rsid w:val="00A84607"/>
    <w:rsid w:val="00A8531C"/>
    <w:rsid w:val="00A8552C"/>
    <w:rsid w:val="00A86756"/>
    <w:rsid w:val="00A87D60"/>
    <w:rsid w:val="00A91B62"/>
    <w:rsid w:val="00A9282B"/>
    <w:rsid w:val="00A94017"/>
    <w:rsid w:val="00A947F3"/>
    <w:rsid w:val="00A95C79"/>
    <w:rsid w:val="00A964DD"/>
    <w:rsid w:val="00A96AEB"/>
    <w:rsid w:val="00A97244"/>
    <w:rsid w:val="00AA0DBA"/>
    <w:rsid w:val="00AA1576"/>
    <w:rsid w:val="00AA1C0D"/>
    <w:rsid w:val="00AA206C"/>
    <w:rsid w:val="00AA29E4"/>
    <w:rsid w:val="00AA3D7F"/>
    <w:rsid w:val="00AA43FC"/>
    <w:rsid w:val="00AA45A8"/>
    <w:rsid w:val="00AA58FA"/>
    <w:rsid w:val="00AA68B8"/>
    <w:rsid w:val="00AA7044"/>
    <w:rsid w:val="00AA758B"/>
    <w:rsid w:val="00AA785D"/>
    <w:rsid w:val="00AA7F7F"/>
    <w:rsid w:val="00AB0923"/>
    <w:rsid w:val="00AB0A09"/>
    <w:rsid w:val="00AB1129"/>
    <w:rsid w:val="00AB2FBA"/>
    <w:rsid w:val="00AB3ED6"/>
    <w:rsid w:val="00AB4172"/>
    <w:rsid w:val="00AB4ECF"/>
    <w:rsid w:val="00AB5221"/>
    <w:rsid w:val="00AB6A4A"/>
    <w:rsid w:val="00AB6F24"/>
    <w:rsid w:val="00AB7019"/>
    <w:rsid w:val="00AC05B2"/>
    <w:rsid w:val="00AC090F"/>
    <w:rsid w:val="00AC20DE"/>
    <w:rsid w:val="00AC2255"/>
    <w:rsid w:val="00AC3B47"/>
    <w:rsid w:val="00AC4160"/>
    <w:rsid w:val="00AC44D6"/>
    <w:rsid w:val="00AC4F2C"/>
    <w:rsid w:val="00AC6081"/>
    <w:rsid w:val="00AC708D"/>
    <w:rsid w:val="00AC7869"/>
    <w:rsid w:val="00AC7E32"/>
    <w:rsid w:val="00AD16A3"/>
    <w:rsid w:val="00AD1BB0"/>
    <w:rsid w:val="00AD2B3D"/>
    <w:rsid w:val="00AD2CFC"/>
    <w:rsid w:val="00AD2E54"/>
    <w:rsid w:val="00AD43B8"/>
    <w:rsid w:val="00AD4DC8"/>
    <w:rsid w:val="00AD5513"/>
    <w:rsid w:val="00AD6202"/>
    <w:rsid w:val="00AD760A"/>
    <w:rsid w:val="00AE0170"/>
    <w:rsid w:val="00AE0ED3"/>
    <w:rsid w:val="00AE2638"/>
    <w:rsid w:val="00AE3CB4"/>
    <w:rsid w:val="00AE4759"/>
    <w:rsid w:val="00AE58B6"/>
    <w:rsid w:val="00AE62A9"/>
    <w:rsid w:val="00AE6539"/>
    <w:rsid w:val="00AE6E72"/>
    <w:rsid w:val="00AE6F46"/>
    <w:rsid w:val="00AE7090"/>
    <w:rsid w:val="00AE7203"/>
    <w:rsid w:val="00AE7244"/>
    <w:rsid w:val="00AE74C9"/>
    <w:rsid w:val="00AE78BA"/>
    <w:rsid w:val="00AF1082"/>
    <w:rsid w:val="00AF15CE"/>
    <w:rsid w:val="00AF2EE4"/>
    <w:rsid w:val="00AF49BA"/>
    <w:rsid w:val="00AF4E60"/>
    <w:rsid w:val="00AF55E3"/>
    <w:rsid w:val="00AF588E"/>
    <w:rsid w:val="00AF5C93"/>
    <w:rsid w:val="00AF60B9"/>
    <w:rsid w:val="00AF6158"/>
    <w:rsid w:val="00AF6900"/>
    <w:rsid w:val="00AF6D5A"/>
    <w:rsid w:val="00AF724A"/>
    <w:rsid w:val="00AF79D5"/>
    <w:rsid w:val="00AF7BAC"/>
    <w:rsid w:val="00AF7FE5"/>
    <w:rsid w:val="00B0141E"/>
    <w:rsid w:val="00B01AC6"/>
    <w:rsid w:val="00B036A2"/>
    <w:rsid w:val="00B03C04"/>
    <w:rsid w:val="00B03D30"/>
    <w:rsid w:val="00B06A7D"/>
    <w:rsid w:val="00B07116"/>
    <w:rsid w:val="00B11391"/>
    <w:rsid w:val="00B115BA"/>
    <w:rsid w:val="00B12056"/>
    <w:rsid w:val="00B12CCE"/>
    <w:rsid w:val="00B166A0"/>
    <w:rsid w:val="00B166DC"/>
    <w:rsid w:val="00B171C2"/>
    <w:rsid w:val="00B174C7"/>
    <w:rsid w:val="00B20403"/>
    <w:rsid w:val="00B24387"/>
    <w:rsid w:val="00B254FC"/>
    <w:rsid w:val="00B2555A"/>
    <w:rsid w:val="00B31053"/>
    <w:rsid w:val="00B311E5"/>
    <w:rsid w:val="00B319C2"/>
    <w:rsid w:val="00B31BEE"/>
    <w:rsid w:val="00B33BAE"/>
    <w:rsid w:val="00B34C87"/>
    <w:rsid w:val="00B35DF4"/>
    <w:rsid w:val="00B35EA3"/>
    <w:rsid w:val="00B4041C"/>
    <w:rsid w:val="00B4122B"/>
    <w:rsid w:val="00B41A45"/>
    <w:rsid w:val="00B4233F"/>
    <w:rsid w:val="00B42756"/>
    <w:rsid w:val="00B42D38"/>
    <w:rsid w:val="00B448B5"/>
    <w:rsid w:val="00B44D0B"/>
    <w:rsid w:val="00B45953"/>
    <w:rsid w:val="00B47117"/>
    <w:rsid w:val="00B477B5"/>
    <w:rsid w:val="00B478D0"/>
    <w:rsid w:val="00B51C52"/>
    <w:rsid w:val="00B51E8D"/>
    <w:rsid w:val="00B535B5"/>
    <w:rsid w:val="00B539BB"/>
    <w:rsid w:val="00B53A88"/>
    <w:rsid w:val="00B56ACD"/>
    <w:rsid w:val="00B56F80"/>
    <w:rsid w:val="00B576A2"/>
    <w:rsid w:val="00B5798B"/>
    <w:rsid w:val="00B61EA1"/>
    <w:rsid w:val="00B62042"/>
    <w:rsid w:val="00B62B3C"/>
    <w:rsid w:val="00B65208"/>
    <w:rsid w:val="00B65305"/>
    <w:rsid w:val="00B65CA4"/>
    <w:rsid w:val="00B66149"/>
    <w:rsid w:val="00B67878"/>
    <w:rsid w:val="00B67B15"/>
    <w:rsid w:val="00B7046D"/>
    <w:rsid w:val="00B706ED"/>
    <w:rsid w:val="00B71390"/>
    <w:rsid w:val="00B72972"/>
    <w:rsid w:val="00B72ADA"/>
    <w:rsid w:val="00B7393D"/>
    <w:rsid w:val="00B73F28"/>
    <w:rsid w:val="00B74960"/>
    <w:rsid w:val="00B759C5"/>
    <w:rsid w:val="00B75C48"/>
    <w:rsid w:val="00B75CA3"/>
    <w:rsid w:val="00B76A8C"/>
    <w:rsid w:val="00B77280"/>
    <w:rsid w:val="00B774F7"/>
    <w:rsid w:val="00B77B9B"/>
    <w:rsid w:val="00B80A59"/>
    <w:rsid w:val="00B810BC"/>
    <w:rsid w:val="00B8400C"/>
    <w:rsid w:val="00B84ECC"/>
    <w:rsid w:val="00B90AEC"/>
    <w:rsid w:val="00B90BF5"/>
    <w:rsid w:val="00B90FA5"/>
    <w:rsid w:val="00B9270E"/>
    <w:rsid w:val="00B92BAC"/>
    <w:rsid w:val="00B92C79"/>
    <w:rsid w:val="00B9345C"/>
    <w:rsid w:val="00B952FE"/>
    <w:rsid w:val="00B95712"/>
    <w:rsid w:val="00B9585B"/>
    <w:rsid w:val="00B9677B"/>
    <w:rsid w:val="00B96A2D"/>
    <w:rsid w:val="00B96BC2"/>
    <w:rsid w:val="00B96CF7"/>
    <w:rsid w:val="00B97DC6"/>
    <w:rsid w:val="00BA0ADE"/>
    <w:rsid w:val="00BA13EF"/>
    <w:rsid w:val="00BA1B61"/>
    <w:rsid w:val="00BA380D"/>
    <w:rsid w:val="00BA39B4"/>
    <w:rsid w:val="00BA4579"/>
    <w:rsid w:val="00BA52AD"/>
    <w:rsid w:val="00BA60AF"/>
    <w:rsid w:val="00BA6792"/>
    <w:rsid w:val="00BA6863"/>
    <w:rsid w:val="00BA6D78"/>
    <w:rsid w:val="00BA7E7C"/>
    <w:rsid w:val="00BB0528"/>
    <w:rsid w:val="00BB09BF"/>
    <w:rsid w:val="00BB0E96"/>
    <w:rsid w:val="00BB117C"/>
    <w:rsid w:val="00BB1902"/>
    <w:rsid w:val="00BB2165"/>
    <w:rsid w:val="00BB2A30"/>
    <w:rsid w:val="00BB35BB"/>
    <w:rsid w:val="00BB3B1B"/>
    <w:rsid w:val="00BB4051"/>
    <w:rsid w:val="00BB4F91"/>
    <w:rsid w:val="00BB5C1C"/>
    <w:rsid w:val="00BB5CFC"/>
    <w:rsid w:val="00BB61FD"/>
    <w:rsid w:val="00BB6C5D"/>
    <w:rsid w:val="00BB6C5E"/>
    <w:rsid w:val="00BB7322"/>
    <w:rsid w:val="00BB7A55"/>
    <w:rsid w:val="00BC012B"/>
    <w:rsid w:val="00BC0B37"/>
    <w:rsid w:val="00BC0E8F"/>
    <w:rsid w:val="00BC1F82"/>
    <w:rsid w:val="00BC259F"/>
    <w:rsid w:val="00BC29B5"/>
    <w:rsid w:val="00BC2C13"/>
    <w:rsid w:val="00BC2D53"/>
    <w:rsid w:val="00BC40E3"/>
    <w:rsid w:val="00BC448F"/>
    <w:rsid w:val="00BC4755"/>
    <w:rsid w:val="00BC4B53"/>
    <w:rsid w:val="00BC5E2E"/>
    <w:rsid w:val="00BC61C6"/>
    <w:rsid w:val="00BC649F"/>
    <w:rsid w:val="00BC6C76"/>
    <w:rsid w:val="00BD036E"/>
    <w:rsid w:val="00BD0F1F"/>
    <w:rsid w:val="00BD1370"/>
    <w:rsid w:val="00BD1523"/>
    <w:rsid w:val="00BD1E1D"/>
    <w:rsid w:val="00BD2148"/>
    <w:rsid w:val="00BD433E"/>
    <w:rsid w:val="00BD466B"/>
    <w:rsid w:val="00BD64A7"/>
    <w:rsid w:val="00BD6EEF"/>
    <w:rsid w:val="00BD746C"/>
    <w:rsid w:val="00BD7A68"/>
    <w:rsid w:val="00BE11DA"/>
    <w:rsid w:val="00BE1ECC"/>
    <w:rsid w:val="00BE20C3"/>
    <w:rsid w:val="00BE4812"/>
    <w:rsid w:val="00BE5292"/>
    <w:rsid w:val="00BE6040"/>
    <w:rsid w:val="00BE7B9A"/>
    <w:rsid w:val="00BF0A43"/>
    <w:rsid w:val="00BF0CD9"/>
    <w:rsid w:val="00BF1F9F"/>
    <w:rsid w:val="00BF285D"/>
    <w:rsid w:val="00BF361E"/>
    <w:rsid w:val="00BF3737"/>
    <w:rsid w:val="00BF3D05"/>
    <w:rsid w:val="00BF3D76"/>
    <w:rsid w:val="00BF413A"/>
    <w:rsid w:val="00BF577A"/>
    <w:rsid w:val="00BF5CF3"/>
    <w:rsid w:val="00BF6350"/>
    <w:rsid w:val="00BF6545"/>
    <w:rsid w:val="00BF6A80"/>
    <w:rsid w:val="00C0035A"/>
    <w:rsid w:val="00C0070E"/>
    <w:rsid w:val="00C00FF9"/>
    <w:rsid w:val="00C011E7"/>
    <w:rsid w:val="00C017A9"/>
    <w:rsid w:val="00C02783"/>
    <w:rsid w:val="00C036C4"/>
    <w:rsid w:val="00C044FD"/>
    <w:rsid w:val="00C05D76"/>
    <w:rsid w:val="00C05D9A"/>
    <w:rsid w:val="00C06639"/>
    <w:rsid w:val="00C06DAE"/>
    <w:rsid w:val="00C073CC"/>
    <w:rsid w:val="00C10857"/>
    <w:rsid w:val="00C10FB7"/>
    <w:rsid w:val="00C1290E"/>
    <w:rsid w:val="00C12960"/>
    <w:rsid w:val="00C13360"/>
    <w:rsid w:val="00C13384"/>
    <w:rsid w:val="00C136E1"/>
    <w:rsid w:val="00C137BA"/>
    <w:rsid w:val="00C15029"/>
    <w:rsid w:val="00C179E9"/>
    <w:rsid w:val="00C17B4F"/>
    <w:rsid w:val="00C2016A"/>
    <w:rsid w:val="00C2091D"/>
    <w:rsid w:val="00C214DC"/>
    <w:rsid w:val="00C214E4"/>
    <w:rsid w:val="00C21DF4"/>
    <w:rsid w:val="00C22D4B"/>
    <w:rsid w:val="00C23EE3"/>
    <w:rsid w:val="00C24CDB"/>
    <w:rsid w:val="00C31E52"/>
    <w:rsid w:val="00C33D4A"/>
    <w:rsid w:val="00C34218"/>
    <w:rsid w:val="00C34CF8"/>
    <w:rsid w:val="00C359A4"/>
    <w:rsid w:val="00C36278"/>
    <w:rsid w:val="00C36E0E"/>
    <w:rsid w:val="00C3789D"/>
    <w:rsid w:val="00C37CB3"/>
    <w:rsid w:val="00C37E5F"/>
    <w:rsid w:val="00C42640"/>
    <w:rsid w:val="00C44581"/>
    <w:rsid w:val="00C44C4E"/>
    <w:rsid w:val="00C44E25"/>
    <w:rsid w:val="00C45CC1"/>
    <w:rsid w:val="00C45F72"/>
    <w:rsid w:val="00C46A84"/>
    <w:rsid w:val="00C46C42"/>
    <w:rsid w:val="00C478BB"/>
    <w:rsid w:val="00C47DBF"/>
    <w:rsid w:val="00C51F6A"/>
    <w:rsid w:val="00C527A8"/>
    <w:rsid w:val="00C52A7D"/>
    <w:rsid w:val="00C55BC2"/>
    <w:rsid w:val="00C55C5E"/>
    <w:rsid w:val="00C560BF"/>
    <w:rsid w:val="00C56999"/>
    <w:rsid w:val="00C56A67"/>
    <w:rsid w:val="00C57156"/>
    <w:rsid w:val="00C57216"/>
    <w:rsid w:val="00C57608"/>
    <w:rsid w:val="00C57897"/>
    <w:rsid w:val="00C57B47"/>
    <w:rsid w:val="00C6222A"/>
    <w:rsid w:val="00C62A6F"/>
    <w:rsid w:val="00C63851"/>
    <w:rsid w:val="00C63B66"/>
    <w:rsid w:val="00C63CBB"/>
    <w:rsid w:val="00C63E8A"/>
    <w:rsid w:val="00C64C13"/>
    <w:rsid w:val="00C64D3B"/>
    <w:rsid w:val="00C65C5B"/>
    <w:rsid w:val="00C65C6D"/>
    <w:rsid w:val="00C66BE5"/>
    <w:rsid w:val="00C705A6"/>
    <w:rsid w:val="00C709E4"/>
    <w:rsid w:val="00C70F66"/>
    <w:rsid w:val="00C71502"/>
    <w:rsid w:val="00C7162A"/>
    <w:rsid w:val="00C71781"/>
    <w:rsid w:val="00C7373E"/>
    <w:rsid w:val="00C73D59"/>
    <w:rsid w:val="00C74159"/>
    <w:rsid w:val="00C752C5"/>
    <w:rsid w:val="00C75C99"/>
    <w:rsid w:val="00C760EB"/>
    <w:rsid w:val="00C7623B"/>
    <w:rsid w:val="00C76487"/>
    <w:rsid w:val="00C80FD3"/>
    <w:rsid w:val="00C82B98"/>
    <w:rsid w:val="00C838F1"/>
    <w:rsid w:val="00C8477C"/>
    <w:rsid w:val="00C87B3C"/>
    <w:rsid w:val="00C90176"/>
    <w:rsid w:val="00C90F64"/>
    <w:rsid w:val="00C912B5"/>
    <w:rsid w:val="00C91741"/>
    <w:rsid w:val="00C927FC"/>
    <w:rsid w:val="00C934BE"/>
    <w:rsid w:val="00C9475C"/>
    <w:rsid w:val="00C94C07"/>
    <w:rsid w:val="00C97233"/>
    <w:rsid w:val="00C972B8"/>
    <w:rsid w:val="00C97B78"/>
    <w:rsid w:val="00C97D3B"/>
    <w:rsid w:val="00CA112F"/>
    <w:rsid w:val="00CA15A4"/>
    <w:rsid w:val="00CA22D9"/>
    <w:rsid w:val="00CA3FF7"/>
    <w:rsid w:val="00CA4BB8"/>
    <w:rsid w:val="00CA4CD9"/>
    <w:rsid w:val="00CA6955"/>
    <w:rsid w:val="00CA6B59"/>
    <w:rsid w:val="00CA6C26"/>
    <w:rsid w:val="00CA6C42"/>
    <w:rsid w:val="00CA782A"/>
    <w:rsid w:val="00CA7EFB"/>
    <w:rsid w:val="00CB0182"/>
    <w:rsid w:val="00CB038B"/>
    <w:rsid w:val="00CB081F"/>
    <w:rsid w:val="00CB1A9F"/>
    <w:rsid w:val="00CB37E9"/>
    <w:rsid w:val="00CB3A16"/>
    <w:rsid w:val="00CB3C8D"/>
    <w:rsid w:val="00CB3DF2"/>
    <w:rsid w:val="00CB40AA"/>
    <w:rsid w:val="00CB4BFF"/>
    <w:rsid w:val="00CB58F9"/>
    <w:rsid w:val="00CB5A23"/>
    <w:rsid w:val="00CB6376"/>
    <w:rsid w:val="00CB7FD3"/>
    <w:rsid w:val="00CC0812"/>
    <w:rsid w:val="00CC0AB5"/>
    <w:rsid w:val="00CC1052"/>
    <w:rsid w:val="00CC22CD"/>
    <w:rsid w:val="00CC3790"/>
    <w:rsid w:val="00CC3F58"/>
    <w:rsid w:val="00CC3FB4"/>
    <w:rsid w:val="00CC4590"/>
    <w:rsid w:val="00CC7935"/>
    <w:rsid w:val="00CD030D"/>
    <w:rsid w:val="00CD15D9"/>
    <w:rsid w:val="00CD1F31"/>
    <w:rsid w:val="00CD28C7"/>
    <w:rsid w:val="00CD2EF2"/>
    <w:rsid w:val="00CD2FBF"/>
    <w:rsid w:val="00CD7633"/>
    <w:rsid w:val="00CD787F"/>
    <w:rsid w:val="00CE0E44"/>
    <w:rsid w:val="00CE0F7B"/>
    <w:rsid w:val="00CE1CA6"/>
    <w:rsid w:val="00CE2EE4"/>
    <w:rsid w:val="00CE3989"/>
    <w:rsid w:val="00CE44BD"/>
    <w:rsid w:val="00CE4745"/>
    <w:rsid w:val="00CE489F"/>
    <w:rsid w:val="00CE52AB"/>
    <w:rsid w:val="00CE656B"/>
    <w:rsid w:val="00CE717A"/>
    <w:rsid w:val="00CE7307"/>
    <w:rsid w:val="00CF0F8B"/>
    <w:rsid w:val="00CF2469"/>
    <w:rsid w:val="00CF3295"/>
    <w:rsid w:val="00CF35E7"/>
    <w:rsid w:val="00CF3A20"/>
    <w:rsid w:val="00CF3FE7"/>
    <w:rsid w:val="00CF492E"/>
    <w:rsid w:val="00CF5B28"/>
    <w:rsid w:val="00D0058F"/>
    <w:rsid w:val="00D00D16"/>
    <w:rsid w:val="00D00F69"/>
    <w:rsid w:val="00D01605"/>
    <w:rsid w:val="00D020D5"/>
    <w:rsid w:val="00D02A96"/>
    <w:rsid w:val="00D03C66"/>
    <w:rsid w:val="00D04D38"/>
    <w:rsid w:val="00D050E6"/>
    <w:rsid w:val="00D065B1"/>
    <w:rsid w:val="00D07A54"/>
    <w:rsid w:val="00D1136A"/>
    <w:rsid w:val="00D12A72"/>
    <w:rsid w:val="00D13160"/>
    <w:rsid w:val="00D14739"/>
    <w:rsid w:val="00D147A9"/>
    <w:rsid w:val="00D16406"/>
    <w:rsid w:val="00D177D3"/>
    <w:rsid w:val="00D212FE"/>
    <w:rsid w:val="00D21407"/>
    <w:rsid w:val="00D2201A"/>
    <w:rsid w:val="00D23B29"/>
    <w:rsid w:val="00D242DD"/>
    <w:rsid w:val="00D2503E"/>
    <w:rsid w:val="00D257C7"/>
    <w:rsid w:val="00D25989"/>
    <w:rsid w:val="00D259D8"/>
    <w:rsid w:val="00D25C38"/>
    <w:rsid w:val="00D25FBC"/>
    <w:rsid w:val="00D2691E"/>
    <w:rsid w:val="00D2739A"/>
    <w:rsid w:val="00D30579"/>
    <w:rsid w:val="00D30613"/>
    <w:rsid w:val="00D30B7A"/>
    <w:rsid w:val="00D310DD"/>
    <w:rsid w:val="00D3190E"/>
    <w:rsid w:val="00D31C3E"/>
    <w:rsid w:val="00D327BA"/>
    <w:rsid w:val="00D328F3"/>
    <w:rsid w:val="00D33A97"/>
    <w:rsid w:val="00D36525"/>
    <w:rsid w:val="00D3656B"/>
    <w:rsid w:val="00D36692"/>
    <w:rsid w:val="00D36D4C"/>
    <w:rsid w:val="00D37805"/>
    <w:rsid w:val="00D43A0A"/>
    <w:rsid w:val="00D44419"/>
    <w:rsid w:val="00D44626"/>
    <w:rsid w:val="00D44EAC"/>
    <w:rsid w:val="00D46715"/>
    <w:rsid w:val="00D4729D"/>
    <w:rsid w:val="00D47390"/>
    <w:rsid w:val="00D47DEF"/>
    <w:rsid w:val="00D5019F"/>
    <w:rsid w:val="00D50E1B"/>
    <w:rsid w:val="00D512E0"/>
    <w:rsid w:val="00D53B75"/>
    <w:rsid w:val="00D555C8"/>
    <w:rsid w:val="00D56FEC"/>
    <w:rsid w:val="00D60907"/>
    <w:rsid w:val="00D60D13"/>
    <w:rsid w:val="00D61683"/>
    <w:rsid w:val="00D61813"/>
    <w:rsid w:val="00D61C87"/>
    <w:rsid w:val="00D6210C"/>
    <w:rsid w:val="00D62252"/>
    <w:rsid w:val="00D638C3"/>
    <w:rsid w:val="00D65A76"/>
    <w:rsid w:val="00D65ABA"/>
    <w:rsid w:val="00D6660F"/>
    <w:rsid w:val="00D66A54"/>
    <w:rsid w:val="00D704D5"/>
    <w:rsid w:val="00D708B6"/>
    <w:rsid w:val="00D70C81"/>
    <w:rsid w:val="00D70CFF"/>
    <w:rsid w:val="00D715A1"/>
    <w:rsid w:val="00D72FEB"/>
    <w:rsid w:val="00D738A0"/>
    <w:rsid w:val="00D75503"/>
    <w:rsid w:val="00D763F0"/>
    <w:rsid w:val="00D80143"/>
    <w:rsid w:val="00D80DBD"/>
    <w:rsid w:val="00D81065"/>
    <w:rsid w:val="00D8115D"/>
    <w:rsid w:val="00D81553"/>
    <w:rsid w:val="00D818CA"/>
    <w:rsid w:val="00D838B4"/>
    <w:rsid w:val="00D83AD3"/>
    <w:rsid w:val="00D83D70"/>
    <w:rsid w:val="00D8409D"/>
    <w:rsid w:val="00D84FDC"/>
    <w:rsid w:val="00D864DB"/>
    <w:rsid w:val="00D8713E"/>
    <w:rsid w:val="00D92B9F"/>
    <w:rsid w:val="00D93A92"/>
    <w:rsid w:val="00D95818"/>
    <w:rsid w:val="00D96091"/>
    <w:rsid w:val="00D971D9"/>
    <w:rsid w:val="00DA1077"/>
    <w:rsid w:val="00DA1091"/>
    <w:rsid w:val="00DA2B74"/>
    <w:rsid w:val="00DA4863"/>
    <w:rsid w:val="00DA61EF"/>
    <w:rsid w:val="00DA6751"/>
    <w:rsid w:val="00DA7BC0"/>
    <w:rsid w:val="00DB00EA"/>
    <w:rsid w:val="00DB06BA"/>
    <w:rsid w:val="00DB3AE5"/>
    <w:rsid w:val="00DB583C"/>
    <w:rsid w:val="00DB6A5E"/>
    <w:rsid w:val="00DB7CA0"/>
    <w:rsid w:val="00DC0758"/>
    <w:rsid w:val="00DC306B"/>
    <w:rsid w:val="00DC4D08"/>
    <w:rsid w:val="00DC5032"/>
    <w:rsid w:val="00DC5036"/>
    <w:rsid w:val="00DC51F1"/>
    <w:rsid w:val="00DC5895"/>
    <w:rsid w:val="00DC603B"/>
    <w:rsid w:val="00DC624F"/>
    <w:rsid w:val="00DC6299"/>
    <w:rsid w:val="00DC6D34"/>
    <w:rsid w:val="00DC7A63"/>
    <w:rsid w:val="00DD0378"/>
    <w:rsid w:val="00DD34DC"/>
    <w:rsid w:val="00DD3874"/>
    <w:rsid w:val="00DD3FDC"/>
    <w:rsid w:val="00DD4A62"/>
    <w:rsid w:val="00DD4EE3"/>
    <w:rsid w:val="00DD503A"/>
    <w:rsid w:val="00DD60BA"/>
    <w:rsid w:val="00DD6A9D"/>
    <w:rsid w:val="00DD747B"/>
    <w:rsid w:val="00DD7E4B"/>
    <w:rsid w:val="00DE0BC1"/>
    <w:rsid w:val="00DE125A"/>
    <w:rsid w:val="00DE1E84"/>
    <w:rsid w:val="00DE27AB"/>
    <w:rsid w:val="00DE28A4"/>
    <w:rsid w:val="00DE347D"/>
    <w:rsid w:val="00DE3508"/>
    <w:rsid w:val="00DE461B"/>
    <w:rsid w:val="00DE46A6"/>
    <w:rsid w:val="00DE48AF"/>
    <w:rsid w:val="00DE4E0C"/>
    <w:rsid w:val="00DE69CA"/>
    <w:rsid w:val="00DE77A5"/>
    <w:rsid w:val="00DE7FF8"/>
    <w:rsid w:val="00DF1FF6"/>
    <w:rsid w:val="00DF27C7"/>
    <w:rsid w:val="00DF2DC1"/>
    <w:rsid w:val="00DF2FEB"/>
    <w:rsid w:val="00DF32EB"/>
    <w:rsid w:val="00DF3E54"/>
    <w:rsid w:val="00DF507B"/>
    <w:rsid w:val="00DF509D"/>
    <w:rsid w:val="00DF5848"/>
    <w:rsid w:val="00DF69AB"/>
    <w:rsid w:val="00DF6BBC"/>
    <w:rsid w:val="00DF6F01"/>
    <w:rsid w:val="00DF7E1D"/>
    <w:rsid w:val="00E000EA"/>
    <w:rsid w:val="00E003B4"/>
    <w:rsid w:val="00E003CA"/>
    <w:rsid w:val="00E0085A"/>
    <w:rsid w:val="00E01E02"/>
    <w:rsid w:val="00E01F47"/>
    <w:rsid w:val="00E03751"/>
    <w:rsid w:val="00E0400F"/>
    <w:rsid w:val="00E04150"/>
    <w:rsid w:val="00E04B82"/>
    <w:rsid w:val="00E07476"/>
    <w:rsid w:val="00E106E8"/>
    <w:rsid w:val="00E10794"/>
    <w:rsid w:val="00E10BDB"/>
    <w:rsid w:val="00E10FA0"/>
    <w:rsid w:val="00E12426"/>
    <w:rsid w:val="00E12DAE"/>
    <w:rsid w:val="00E13338"/>
    <w:rsid w:val="00E134E1"/>
    <w:rsid w:val="00E1371F"/>
    <w:rsid w:val="00E13C05"/>
    <w:rsid w:val="00E15105"/>
    <w:rsid w:val="00E16CBE"/>
    <w:rsid w:val="00E1786F"/>
    <w:rsid w:val="00E17927"/>
    <w:rsid w:val="00E17DFD"/>
    <w:rsid w:val="00E20032"/>
    <w:rsid w:val="00E20539"/>
    <w:rsid w:val="00E20A4A"/>
    <w:rsid w:val="00E21163"/>
    <w:rsid w:val="00E22103"/>
    <w:rsid w:val="00E24998"/>
    <w:rsid w:val="00E254A1"/>
    <w:rsid w:val="00E27AB2"/>
    <w:rsid w:val="00E27CB4"/>
    <w:rsid w:val="00E27EE3"/>
    <w:rsid w:val="00E31CE5"/>
    <w:rsid w:val="00E32D23"/>
    <w:rsid w:val="00E32E5A"/>
    <w:rsid w:val="00E331D7"/>
    <w:rsid w:val="00E34548"/>
    <w:rsid w:val="00E349E0"/>
    <w:rsid w:val="00E34B68"/>
    <w:rsid w:val="00E34B80"/>
    <w:rsid w:val="00E350FF"/>
    <w:rsid w:val="00E35820"/>
    <w:rsid w:val="00E35F33"/>
    <w:rsid w:val="00E415F4"/>
    <w:rsid w:val="00E41950"/>
    <w:rsid w:val="00E42896"/>
    <w:rsid w:val="00E42BB2"/>
    <w:rsid w:val="00E43221"/>
    <w:rsid w:val="00E43597"/>
    <w:rsid w:val="00E44263"/>
    <w:rsid w:val="00E449A0"/>
    <w:rsid w:val="00E44B6D"/>
    <w:rsid w:val="00E44FE9"/>
    <w:rsid w:val="00E454C1"/>
    <w:rsid w:val="00E45C84"/>
    <w:rsid w:val="00E47564"/>
    <w:rsid w:val="00E478B4"/>
    <w:rsid w:val="00E50530"/>
    <w:rsid w:val="00E50CEC"/>
    <w:rsid w:val="00E5174C"/>
    <w:rsid w:val="00E51951"/>
    <w:rsid w:val="00E53A95"/>
    <w:rsid w:val="00E53EDB"/>
    <w:rsid w:val="00E54194"/>
    <w:rsid w:val="00E54CB4"/>
    <w:rsid w:val="00E5624F"/>
    <w:rsid w:val="00E565A9"/>
    <w:rsid w:val="00E56FC7"/>
    <w:rsid w:val="00E5774C"/>
    <w:rsid w:val="00E62983"/>
    <w:rsid w:val="00E62F70"/>
    <w:rsid w:val="00E63220"/>
    <w:rsid w:val="00E63F7E"/>
    <w:rsid w:val="00E64AF9"/>
    <w:rsid w:val="00E65CFB"/>
    <w:rsid w:val="00E67231"/>
    <w:rsid w:val="00E67CE7"/>
    <w:rsid w:val="00E701B3"/>
    <w:rsid w:val="00E71240"/>
    <w:rsid w:val="00E718F4"/>
    <w:rsid w:val="00E71CA9"/>
    <w:rsid w:val="00E72EA1"/>
    <w:rsid w:val="00E73DC5"/>
    <w:rsid w:val="00E74136"/>
    <w:rsid w:val="00E74C49"/>
    <w:rsid w:val="00E7692E"/>
    <w:rsid w:val="00E76B9A"/>
    <w:rsid w:val="00E77089"/>
    <w:rsid w:val="00E80B27"/>
    <w:rsid w:val="00E81840"/>
    <w:rsid w:val="00E81C6D"/>
    <w:rsid w:val="00E83133"/>
    <w:rsid w:val="00E83293"/>
    <w:rsid w:val="00E84A1F"/>
    <w:rsid w:val="00E84B93"/>
    <w:rsid w:val="00E853E0"/>
    <w:rsid w:val="00E85E33"/>
    <w:rsid w:val="00E863D2"/>
    <w:rsid w:val="00E8644D"/>
    <w:rsid w:val="00E87A91"/>
    <w:rsid w:val="00E87CE1"/>
    <w:rsid w:val="00E9084B"/>
    <w:rsid w:val="00E90E9E"/>
    <w:rsid w:val="00E92132"/>
    <w:rsid w:val="00E92377"/>
    <w:rsid w:val="00E9247D"/>
    <w:rsid w:val="00E93C8C"/>
    <w:rsid w:val="00E94746"/>
    <w:rsid w:val="00E949BA"/>
    <w:rsid w:val="00E95267"/>
    <w:rsid w:val="00E953FA"/>
    <w:rsid w:val="00E956A4"/>
    <w:rsid w:val="00EA04C9"/>
    <w:rsid w:val="00EA0F84"/>
    <w:rsid w:val="00EA0FE2"/>
    <w:rsid w:val="00EA1A31"/>
    <w:rsid w:val="00EA1DBC"/>
    <w:rsid w:val="00EA2B11"/>
    <w:rsid w:val="00EA2B5B"/>
    <w:rsid w:val="00EA3C7A"/>
    <w:rsid w:val="00EA3C81"/>
    <w:rsid w:val="00EA3D9C"/>
    <w:rsid w:val="00EA407D"/>
    <w:rsid w:val="00EA4104"/>
    <w:rsid w:val="00EB2367"/>
    <w:rsid w:val="00EB4642"/>
    <w:rsid w:val="00EB7390"/>
    <w:rsid w:val="00EB73AF"/>
    <w:rsid w:val="00EC00D6"/>
    <w:rsid w:val="00EC1A41"/>
    <w:rsid w:val="00EC31EA"/>
    <w:rsid w:val="00EC401C"/>
    <w:rsid w:val="00EC43B7"/>
    <w:rsid w:val="00EC5200"/>
    <w:rsid w:val="00ED0AEF"/>
    <w:rsid w:val="00ED1D6E"/>
    <w:rsid w:val="00ED2E6A"/>
    <w:rsid w:val="00ED35AA"/>
    <w:rsid w:val="00ED3D16"/>
    <w:rsid w:val="00ED4371"/>
    <w:rsid w:val="00ED4CBB"/>
    <w:rsid w:val="00ED4CF5"/>
    <w:rsid w:val="00EE04C4"/>
    <w:rsid w:val="00EE1C07"/>
    <w:rsid w:val="00EE2E38"/>
    <w:rsid w:val="00EE34A3"/>
    <w:rsid w:val="00EE4EDE"/>
    <w:rsid w:val="00EE501D"/>
    <w:rsid w:val="00EE52DF"/>
    <w:rsid w:val="00EE647D"/>
    <w:rsid w:val="00EE6899"/>
    <w:rsid w:val="00EE6BBF"/>
    <w:rsid w:val="00EE6C06"/>
    <w:rsid w:val="00EF08E4"/>
    <w:rsid w:val="00EF0D8F"/>
    <w:rsid w:val="00EF265C"/>
    <w:rsid w:val="00EF3AFA"/>
    <w:rsid w:val="00EF49D4"/>
    <w:rsid w:val="00EF5292"/>
    <w:rsid w:val="00EF5537"/>
    <w:rsid w:val="00EF5B0D"/>
    <w:rsid w:val="00EF5DD5"/>
    <w:rsid w:val="00EF61FE"/>
    <w:rsid w:val="00EF7030"/>
    <w:rsid w:val="00EF720A"/>
    <w:rsid w:val="00EF7519"/>
    <w:rsid w:val="00EF79F2"/>
    <w:rsid w:val="00EF7A73"/>
    <w:rsid w:val="00F00117"/>
    <w:rsid w:val="00F00C0B"/>
    <w:rsid w:val="00F014A9"/>
    <w:rsid w:val="00F01FBE"/>
    <w:rsid w:val="00F02A25"/>
    <w:rsid w:val="00F0375A"/>
    <w:rsid w:val="00F05F8A"/>
    <w:rsid w:val="00F06241"/>
    <w:rsid w:val="00F06369"/>
    <w:rsid w:val="00F06C49"/>
    <w:rsid w:val="00F06E99"/>
    <w:rsid w:val="00F070A1"/>
    <w:rsid w:val="00F13E33"/>
    <w:rsid w:val="00F13E70"/>
    <w:rsid w:val="00F14142"/>
    <w:rsid w:val="00F14B01"/>
    <w:rsid w:val="00F1552E"/>
    <w:rsid w:val="00F15801"/>
    <w:rsid w:val="00F16079"/>
    <w:rsid w:val="00F161BE"/>
    <w:rsid w:val="00F16668"/>
    <w:rsid w:val="00F17A90"/>
    <w:rsid w:val="00F17B38"/>
    <w:rsid w:val="00F2010D"/>
    <w:rsid w:val="00F20740"/>
    <w:rsid w:val="00F21943"/>
    <w:rsid w:val="00F21FE1"/>
    <w:rsid w:val="00F225B4"/>
    <w:rsid w:val="00F23369"/>
    <w:rsid w:val="00F24308"/>
    <w:rsid w:val="00F26C92"/>
    <w:rsid w:val="00F27054"/>
    <w:rsid w:val="00F30082"/>
    <w:rsid w:val="00F306DA"/>
    <w:rsid w:val="00F30A87"/>
    <w:rsid w:val="00F30D06"/>
    <w:rsid w:val="00F30D23"/>
    <w:rsid w:val="00F3175F"/>
    <w:rsid w:val="00F31BE0"/>
    <w:rsid w:val="00F32544"/>
    <w:rsid w:val="00F32AEE"/>
    <w:rsid w:val="00F336CA"/>
    <w:rsid w:val="00F34594"/>
    <w:rsid w:val="00F347B4"/>
    <w:rsid w:val="00F34B0C"/>
    <w:rsid w:val="00F34F01"/>
    <w:rsid w:val="00F3508C"/>
    <w:rsid w:val="00F352F6"/>
    <w:rsid w:val="00F35409"/>
    <w:rsid w:val="00F35BC3"/>
    <w:rsid w:val="00F4080F"/>
    <w:rsid w:val="00F40874"/>
    <w:rsid w:val="00F40FFF"/>
    <w:rsid w:val="00F436F4"/>
    <w:rsid w:val="00F44179"/>
    <w:rsid w:val="00F4430F"/>
    <w:rsid w:val="00F443F5"/>
    <w:rsid w:val="00F449EB"/>
    <w:rsid w:val="00F45898"/>
    <w:rsid w:val="00F52B19"/>
    <w:rsid w:val="00F52C1C"/>
    <w:rsid w:val="00F5456E"/>
    <w:rsid w:val="00F5494D"/>
    <w:rsid w:val="00F54EA6"/>
    <w:rsid w:val="00F55441"/>
    <w:rsid w:val="00F56B7B"/>
    <w:rsid w:val="00F5704E"/>
    <w:rsid w:val="00F5724A"/>
    <w:rsid w:val="00F573FD"/>
    <w:rsid w:val="00F61A03"/>
    <w:rsid w:val="00F61C0B"/>
    <w:rsid w:val="00F6548C"/>
    <w:rsid w:val="00F6642E"/>
    <w:rsid w:val="00F66A19"/>
    <w:rsid w:val="00F66F92"/>
    <w:rsid w:val="00F6714A"/>
    <w:rsid w:val="00F678B7"/>
    <w:rsid w:val="00F717D9"/>
    <w:rsid w:val="00F71F27"/>
    <w:rsid w:val="00F721C6"/>
    <w:rsid w:val="00F73E79"/>
    <w:rsid w:val="00F74D4A"/>
    <w:rsid w:val="00F75C6F"/>
    <w:rsid w:val="00F7696D"/>
    <w:rsid w:val="00F76CFC"/>
    <w:rsid w:val="00F7701E"/>
    <w:rsid w:val="00F779B7"/>
    <w:rsid w:val="00F81B71"/>
    <w:rsid w:val="00F824FF"/>
    <w:rsid w:val="00F841D9"/>
    <w:rsid w:val="00F84240"/>
    <w:rsid w:val="00F866BE"/>
    <w:rsid w:val="00F8792C"/>
    <w:rsid w:val="00F87B67"/>
    <w:rsid w:val="00F87D90"/>
    <w:rsid w:val="00F90372"/>
    <w:rsid w:val="00F922A2"/>
    <w:rsid w:val="00F92919"/>
    <w:rsid w:val="00F930A6"/>
    <w:rsid w:val="00F932F0"/>
    <w:rsid w:val="00F9373A"/>
    <w:rsid w:val="00F950C4"/>
    <w:rsid w:val="00F97116"/>
    <w:rsid w:val="00F97C3E"/>
    <w:rsid w:val="00FA1287"/>
    <w:rsid w:val="00FA15A2"/>
    <w:rsid w:val="00FA2E56"/>
    <w:rsid w:val="00FA334A"/>
    <w:rsid w:val="00FA3CDA"/>
    <w:rsid w:val="00FA4382"/>
    <w:rsid w:val="00FA5842"/>
    <w:rsid w:val="00FA604A"/>
    <w:rsid w:val="00FA6DA8"/>
    <w:rsid w:val="00FA6E4B"/>
    <w:rsid w:val="00FA71C3"/>
    <w:rsid w:val="00FB038B"/>
    <w:rsid w:val="00FB0519"/>
    <w:rsid w:val="00FB1793"/>
    <w:rsid w:val="00FB18C3"/>
    <w:rsid w:val="00FB1C17"/>
    <w:rsid w:val="00FB246E"/>
    <w:rsid w:val="00FB41E5"/>
    <w:rsid w:val="00FB4B4C"/>
    <w:rsid w:val="00FB502B"/>
    <w:rsid w:val="00FB5192"/>
    <w:rsid w:val="00FB5703"/>
    <w:rsid w:val="00FB5FEC"/>
    <w:rsid w:val="00FB6442"/>
    <w:rsid w:val="00FB695D"/>
    <w:rsid w:val="00FB76BF"/>
    <w:rsid w:val="00FB78EF"/>
    <w:rsid w:val="00FC1DDA"/>
    <w:rsid w:val="00FC3026"/>
    <w:rsid w:val="00FC5362"/>
    <w:rsid w:val="00FC5890"/>
    <w:rsid w:val="00FC6653"/>
    <w:rsid w:val="00FC68F3"/>
    <w:rsid w:val="00FC6EF6"/>
    <w:rsid w:val="00FC6FB8"/>
    <w:rsid w:val="00FC7022"/>
    <w:rsid w:val="00FC7882"/>
    <w:rsid w:val="00FC7A78"/>
    <w:rsid w:val="00FC7BDC"/>
    <w:rsid w:val="00FD0873"/>
    <w:rsid w:val="00FD0B5A"/>
    <w:rsid w:val="00FD2727"/>
    <w:rsid w:val="00FD3000"/>
    <w:rsid w:val="00FD5806"/>
    <w:rsid w:val="00FD65F7"/>
    <w:rsid w:val="00FD69DD"/>
    <w:rsid w:val="00FD70C6"/>
    <w:rsid w:val="00FD7350"/>
    <w:rsid w:val="00FD762A"/>
    <w:rsid w:val="00FE1EA3"/>
    <w:rsid w:val="00FE3A9E"/>
    <w:rsid w:val="00FE5645"/>
    <w:rsid w:val="00FE75BE"/>
    <w:rsid w:val="00FE7703"/>
    <w:rsid w:val="00FF0361"/>
    <w:rsid w:val="00FF1A5E"/>
    <w:rsid w:val="00FF285E"/>
    <w:rsid w:val="00FF3334"/>
    <w:rsid w:val="00FF4106"/>
    <w:rsid w:val="00FF4C94"/>
    <w:rsid w:val="00FF68C7"/>
    <w:rsid w:val="00FF6CFF"/>
    <w:rsid w:val="00FF78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F1A88"/>
  <w15:docId w15:val="{AD81D5CA-7AF5-4DB6-82A8-472C9FC2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A53614"/>
    <w:pPr>
      <w:spacing w:before="200" w:line="270" w:lineRule="atLeast"/>
    </w:pPr>
    <w:rPr>
      <w:rFonts w:ascii="Arial" w:hAnsi="Arial"/>
    </w:rPr>
  </w:style>
  <w:style w:type="paragraph" w:styleId="berschrift1">
    <w:name w:val="heading 1"/>
    <w:basedOn w:val="Standard"/>
    <w:next w:val="Flietext"/>
    <w:link w:val="berschrift1Zchn"/>
    <w:uiPriority w:val="9"/>
    <w:qFormat/>
    <w:rsid w:val="008A0BBE"/>
    <w:pPr>
      <w:keepNext/>
      <w:keepLines/>
      <w:pageBreakBefore/>
      <w:numPr>
        <w:numId w:val="38"/>
      </w:numPr>
      <w:spacing w:before="800" w:line="480" w:lineRule="exact"/>
      <w:outlineLvl w:val="0"/>
    </w:pPr>
    <w:rPr>
      <w:sz w:val="40"/>
    </w:rPr>
  </w:style>
  <w:style w:type="paragraph" w:styleId="berschrift2">
    <w:name w:val="heading 2"/>
    <w:basedOn w:val="Standard"/>
    <w:next w:val="Flietext"/>
    <w:link w:val="berschrift2Zchn"/>
    <w:uiPriority w:val="9"/>
    <w:qFormat/>
    <w:rsid w:val="008A0BBE"/>
    <w:pPr>
      <w:keepNext/>
      <w:keepLines/>
      <w:numPr>
        <w:ilvl w:val="1"/>
        <w:numId w:val="38"/>
      </w:numPr>
      <w:spacing w:before="600" w:line="400" w:lineRule="exact"/>
      <w:outlineLvl w:val="1"/>
    </w:pPr>
    <w:rPr>
      <w:color w:val="00ACE5" w:themeColor="accent1"/>
      <w:sz w:val="32"/>
    </w:rPr>
  </w:style>
  <w:style w:type="paragraph" w:styleId="berschrift3">
    <w:name w:val="heading 3"/>
    <w:basedOn w:val="Standard"/>
    <w:next w:val="Flietext"/>
    <w:link w:val="berschrift3Zchn"/>
    <w:uiPriority w:val="9"/>
    <w:qFormat/>
    <w:rsid w:val="008A0BBE"/>
    <w:pPr>
      <w:keepNext/>
      <w:keepLines/>
      <w:numPr>
        <w:ilvl w:val="2"/>
        <w:numId w:val="38"/>
      </w:numPr>
      <w:spacing w:before="400" w:line="300" w:lineRule="atLeast"/>
      <w:outlineLvl w:val="2"/>
    </w:pPr>
    <w:rPr>
      <w:b/>
      <w:color w:val="7F7F7F"/>
      <w:sz w:val="24"/>
    </w:rPr>
  </w:style>
  <w:style w:type="paragraph" w:styleId="berschrift4">
    <w:name w:val="heading 4"/>
    <w:basedOn w:val="Standard"/>
    <w:next w:val="Flietext"/>
    <w:link w:val="berschrift4Zchn"/>
    <w:uiPriority w:val="9"/>
    <w:qFormat/>
    <w:rsid w:val="008A0BBE"/>
    <w:pPr>
      <w:keepNext/>
      <w:keepLines/>
      <w:numPr>
        <w:ilvl w:val="3"/>
        <w:numId w:val="38"/>
      </w:numPr>
      <w:spacing w:before="400" w:line="280" w:lineRule="atLeast"/>
      <w:outlineLvl w:val="3"/>
    </w:pPr>
    <w:rPr>
      <w:b/>
      <w:color w:val="000000" w:themeColor="text1"/>
    </w:rPr>
  </w:style>
  <w:style w:type="paragraph" w:styleId="berschrift5">
    <w:name w:val="heading 5"/>
    <w:basedOn w:val="Standard"/>
    <w:next w:val="Flietext"/>
    <w:link w:val="berschrift5Zchn"/>
    <w:uiPriority w:val="9"/>
    <w:qFormat/>
    <w:rsid w:val="008A0BBE"/>
    <w:pPr>
      <w:keepNext/>
      <w:keepLines/>
      <w:numPr>
        <w:ilvl w:val="4"/>
        <w:numId w:val="38"/>
      </w:numPr>
      <w:spacing w:before="400" w:line="280" w:lineRule="atLeast"/>
      <w:outlineLvl w:val="4"/>
    </w:pPr>
    <w:rPr>
      <w:b/>
      <w:color w:val="000000" w:themeColor="text1"/>
    </w:rPr>
  </w:style>
  <w:style w:type="paragraph" w:styleId="berschrift6">
    <w:name w:val="heading 6"/>
    <w:basedOn w:val="Standard"/>
    <w:next w:val="Standard"/>
    <w:link w:val="berschrift6Zchn"/>
    <w:uiPriority w:val="9"/>
    <w:semiHidden/>
    <w:qFormat/>
    <w:rsid w:val="00A53614"/>
    <w:pPr>
      <w:keepNext/>
      <w:keepLines/>
      <w:spacing w:before="40" w:after="0"/>
      <w:outlineLvl w:val="5"/>
    </w:pPr>
    <w:rPr>
      <w:rFonts w:asciiTheme="majorHAnsi" w:eastAsiaTheme="majorEastAsia" w:hAnsiTheme="majorHAnsi" w:cstheme="majorBidi"/>
      <w:color w:val="005572" w:themeColor="accent1" w:themeShade="7F"/>
    </w:rPr>
  </w:style>
  <w:style w:type="paragraph" w:styleId="berschrift7">
    <w:name w:val="heading 7"/>
    <w:basedOn w:val="Standard"/>
    <w:next w:val="Standard"/>
    <w:link w:val="berschrift7Zchn"/>
    <w:uiPriority w:val="9"/>
    <w:semiHidden/>
    <w:unhideWhenUsed/>
    <w:qFormat/>
    <w:rsid w:val="000B11EB"/>
    <w:pPr>
      <w:keepNext/>
      <w:keepLines/>
      <w:spacing w:before="40" w:after="0"/>
      <w:outlineLvl w:val="6"/>
    </w:pPr>
    <w:rPr>
      <w:rFonts w:asciiTheme="majorHAnsi" w:eastAsiaTheme="majorEastAsia" w:hAnsiTheme="majorHAnsi" w:cstheme="majorBidi"/>
      <w:i/>
      <w:iCs/>
      <w:color w:val="005572" w:themeColor="accent1" w:themeShade="7F"/>
    </w:rPr>
  </w:style>
  <w:style w:type="paragraph" w:styleId="berschrift8">
    <w:name w:val="heading 8"/>
    <w:basedOn w:val="Standard"/>
    <w:next w:val="Standard"/>
    <w:link w:val="berschrift8Zchn"/>
    <w:uiPriority w:val="9"/>
    <w:semiHidden/>
    <w:unhideWhenUsed/>
    <w:qFormat/>
    <w:rsid w:val="000B11E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B11E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BB3B1B"/>
    <w:pPr>
      <w:ind w:left="720"/>
      <w:contextualSpacing/>
    </w:pPr>
  </w:style>
  <w:style w:type="paragraph" w:styleId="Kopfzeile">
    <w:name w:val="header"/>
    <w:basedOn w:val="Standard"/>
    <w:link w:val="KopfzeileZchn"/>
    <w:uiPriority w:val="99"/>
    <w:semiHidden/>
    <w:rsid w:val="00020716"/>
    <w:pPr>
      <w:spacing w:before="40" w:after="0" w:line="170" w:lineRule="exact"/>
    </w:pPr>
    <w:rPr>
      <w:noProof/>
      <w:sz w:val="14"/>
    </w:rPr>
  </w:style>
  <w:style w:type="character" w:customStyle="1" w:styleId="KopfzeileZchn">
    <w:name w:val="Kopfzeile Zchn"/>
    <w:basedOn w:val="Absatz-Standardschriftart"/>
    <w:link w:val="Kopfzeile"/>
    <w:uiPriority w:val="99"/>
    <w:semiHidden/>
    <w:rsid w:val="0029541D"/>
    <w:rPr>
      <w:rFonts w:ascii="Arial" w:hAnsi="Arial"/>
      <w:noProof/>
      <w:sz w:val="14"/>
    </w:rPr>
  </w:style>
  <w:style w:type="paragraph" w:styleId="Fuzeile">
    <w:name w:val="footer"/>
    <w:basedOn w:val="Standard"/>
    <w:link w:val="FuzeileZchn"/>
    <w:uiPriority w:val="99"/>
    <w:semiHidden/>
    <w:rsid w:val="00947A1F"/>
    <w:pPr>
      <w:tabs>
        <w:tab w:val="right" w:pos="8505"/>
      </w:tabs>
      <w:spacing w:after="20" w:line="170" w:lineRule="exact"/>
      <w:jc w:val="right"/>
    </w:pPr>
    <w:rPr>
      <w:sz w:val="14"/>
    </w:rPr>
  </w:style>
  <w:style w:type="character" w:customStyle="1" w:styleId="FuzeileZchn">
    <w:name w:val="Fußzeile Zchn"/>
    <w:basedOn w:val="Absatz-Standardschriftart"/>
    <w:link w:val="Fuzeile"/>
    <w:uiPriority w:val="99"/>
    <w:semiHidden/>
    <w:rsid w:val="00434195"/>
    <w:rPr>
      <w:rFonts w:ascii="Arial" w:hAnsi="Arial"/>
      <w:sz w:val="14"/>
    </w:rPr>
  </w:style>
  <w:style w:type="paragraph" w:styleId="Sprechblasentext">
    <w:name w:val="Balloon Text"/>
    <w:basedOn w:val="Standard"/>
    <w:link w:val="SprechblasentextZchn"/>
    <w:uiPriority w:val="99"/>
    <w:semiHidden/>
    <w:rsid w:val="00D555C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4195"/>
    <w:rPr>
      <w:rFonts w:ascii="Tahoma" w:hAnsi="Tahoma" w:cs="Tahoma"/>
      <w:sz w:val="16"/>
      <w:szCs w:val="16"/>
    </w:rPr>
  </w:style>
  <w:style w:type="character" w:customStyle="1" w:styleId="berschrift1Zchn">
    <w:name w:val="Überschrift 1 Zchn"/>
    <w:basedOn w:val="Absatz-Standardschriftart"/>
    <w:link w:val="berschrift1"/>
    <w:uiPriority w:val="9"/>
    <w:rsid w:val="008A0BBE"/>
    <w:rPr>
      <w:rFonts w:ascii="Arial" w:hAnsi="Arial"/>
      <w:sz w:val="40"/>
    </w:rPr>
  </w:style>
  <w:style w:type="paragraph" w:customStyle="1" w:styleId="Titelberschrift">
    <w:name w:val="Titel Überschrift"/>
    <w:basedOn w:val="Standard"/>
    <w:next w:val="Flietext"/>
    <w:rsid w:val="009B522D"/>
    <w:pPr>
      <w:spacing w:before="1247" w:after="0" w:line="800" w:lineRule="exact"/>
      <w:ind w:right="2268"/>
    </w:pPr>
    <w:rPr>
      <w:caps/>
      <w:sz w:val="72"/>
    </w:rPr>
  </w:style>
  <w:style w:type="paragraph" w:customStyle="1" w:styleId="TitelUntertitel">
    <w:name w:val="Titel Untertitel"/>
    <w:basedOn w:val="Standard"/>
    <w:next w:val="Flietext"/>
    <w:rsid w:val="00435045"/>
    <w:pPr>
      <w:spacing w:line="560" w:lineRule="exact"/>
      <w:ind w:right="2268"/>
    </w:pPr>
    <w:rPr>
      <w:i/>
      <w:color w:val="E95F47"/>
      <w:sz w:val="48"/>
    </w:rPr>
  </w:style>
  <w:style w:type="paragraph" w:customStyle="1" w:styleId="Flietext">
    <w:name w:val="Fließtext"/>
    <w:basedOn w:val="Standard"/>
    <w:link w:val="FlietextZchn"/>
    <w:qFormat/>
    <w:rsid w:val="00606EAE"/>
    <w:pPr>
      <w:tabs>
        <w:tab w:val="left" w:pos="284"/>
      </w:tabs>
    </w:pPr>
    <w:rPr>
      <w:sz w:val="20"/>
    </w:rPr>
  </w:style>
  <w:style w:type="paragraph" w:customStyle="1" w:styleId="Flietextfett">
    <w:name w:val="Fließtext fett"/>
    <w:basedOn w:val="Flietext"/>
    <w:next w:val="Flietext"/>
    <w:link w:val="FlietextfettZchn"/>
    <w:qFormat/>
    <w:rsid w:val="00E449A0"/>
    <w:rPr>
      <w:b/>
    </w:rPr>
  </w:style>
  <w:style w:type="paragraph" w:customStyle="1" w:styleId="Flietextkursiv">
    <w:name w:val="Fließtext kursiv"/>
    <w:basedOn w:val="Flietext"/>
    <w:next w:val="Flietext"/>
    <w:link w:val="FlietextkursivZchn"/>
    <w:qFormat/>
    <w:rsid w:val="00E449A0"/>
    <w:rPr>
      <w:i/>
    </w:rPr>
  </w:style>
  <w:style w:type="character" w:customStyle="1" w:styleId="FlietextZchn">
    <w:name w:val="Fließtext Zchn"/>
    <w:basedOn w:val="Absatz-Standardschriftart"/>
    <w:link w:val="Flietext"/>
    <w:rsid w:val="00606EAE"/>
    <w:rPr>
      <w:rFonts w:ascii="Arial" w:hAnsi="Arial"/>
      <w:sz w:val="20"/>
    </w:rPr>
  </w:style>
  <w:style w:type="character" w:customStyle="1" w:styleId="FlietextfettZchn">
    <w:name w:val="Fließtext fett Zchn"/>
    <w:basedOn w:val="FlietextZchn"/>
    <w:link w:val="Flietextfett"/>
    <w:rsid w:val="00E449A0"/>
    <w:rPr>
      <w:rFonts w:ascii="Arial" w:hAnsi="Arial"/>
      <w:b/>
      <w:sz w:val="20"/>
    </w:rPr>
  </w:style>
  <w:style w:type="paragraph" w:customStyle="1" w:styleId="FeststellungEmpfehlung">
    <w:name w:val="Feststellung Empfehlung"/>
    <w:basedOn w:val="Flietext"/>
    <w:next w:val="FlietextFeststellung"/>
    <w:qFormat/>
    <w:rsid w:val="00DD3874"/>
    <w:pPr>
      <w:keepNext/>
      <w:keepLines/>
      <w:numPr>
        <w:numId w:val="3"/>
      </w:numPr>
      <w:spacing w:after="0"/>
      <w:ind w:left="284" w:hanging="284"/>
    </w:pPr>
    <w:rPr>
      <w:b/>
    </w:rPr>
  </w:style>
  <w:style w:type="paragraph" w:customStyle="1" w:styleId="Feststellungqualifiziert">
    <w:name w:val="Feststellung qualifiziert"/>
    <w:basedOn w:val="Flietext"/>
    <w:next w:val="Flietext"/>
    <w:qFormat/>
    <w:rsid w:val="00DD3874"/>
    <w:pPr>
      <w:numPr>
        <w:numId w:val="4"/>
      </w:numPr>
      <w:tabs>
        <w:tab w:val="left" w:pos="567"/>
      </w:tabs>
      <w:spacing w:before="0" w:after="284"/>
      <w:ind w:left="641" w:hanging="357"/>
      <w:contextualSpacing/>
    </w:pPr>
  </w:style>
  <w:style w:type="paragraph" w:customStyle="1" w:styleId="Sonderformat">
    <w:name w:val="Sonderformat"/>
    <w:basedOn w:val="FeststellungEmpfehlung"/>
    <w:next w:val="FlietextSonderformat"/>
    <w:qFormat/>
    <w:rsid w:val="006D7FCF"/>
    <w:pPr>
      <w:tabs>
        <w:tab w:val="clear" w:pos="284"/>
      </w:tabs>
      <w:ind w:left="568" w:right="284"/>
    </w:pPr>
  </w:style>
  <w:style w:type="paragraph" w:customStyle="1" w:styleId="FlietextAufzhlung">
    <w:name w:val="Fließtext Aufzählung"/>
    <w:basedOn w:val="Flietext"/>
    <w:qFormat/>
    <w:rsid w:val="0061667C"/>
    <w:pPr>
      <w:numPr>
        <w:numId w:val="5"/>
      </w:numPr>
      <w:pBdr>
        <w:left w:val="single" w:sz="4" w:space="14" w:color="FFFFFF" w:themeColor="background1"/>
      </w:pBdr>
    </w:pPr>
  </w:style>
  <w:style w:type="paragraph" w:customStyle="1" w:styleId="FlietextFeststellung">
    <w:name w:val="Fließtext Feststellung"/>
    <w:basedOn w:val="Flietext"/>
    <w:qFormat/>
    <w:rsid w:val="00DD3874"/>
    <w:pPr>
      <w:pBdr>
        <w:left w:val="single" w:sz="4" w:space="14" w:color="FFFFFF" w:themeColor="background1"/>
      </w:pBdr>
      <w:spacing w:before="0" w:after="0"/>
      <w:ind w:left="284"/>
      <w:contextualSpacing/>
    </w:pPr>
  </w:style>
  <w:style w:type="paragraph" w:customStyle="1" w:styleId="FlietextSonderformat">
    <w:name w:val="Fließtext Sonderformat"/>
    <w:basedOn w:val="Flietext"/>
    <w:qFormat/>
    <w:rsid w:val="006F7C86"/>
    <w:pPr>
      <w:tabs>
        <w:tab w:val="clear" w:pos="284"/>
      </w:tabs>
      <w:spacing w:before="0" w:after="280"/>
      <w:ind w:left="567" w:right="284"/>
      <w:contextualSpacing/>
    </w:pPr>
  </w:style>
  <w:style w:type="character" w:customStyle="1" w:styleId="FlietextkursivZchn">
    <w:name w:val="Fließtext kursiv Zchn"/>
    <w:basedOn w:val="FlietextZchn"/>
    <w:link w:val="Flietextkursiv"/>
    <w:rsid w:val="009D6FDB"/>
    <w:rPr>
      <w:rFonts w:ascii="Arial" w:hAnsi="Arial"/>
      <w:i/>
      <w:sz w:val="20"/>
    </w:rPr>
  </w:style>
  <w:style w:type="character" w:customStyle="1" w:styleId="berschrift4Zchn">
    <w:name w:val="Überschrift 4 Zchn"/>
    <w:basedOn w:val="Absatz-Standardschriftart"/>
    <w:link w:val="berschrift4"/>
    <w:uiPriority w:val="9"/>
    <w:rsid w:val="008A0BBE"/>
    <w:rPr>
      <w:rFonts w:ascii="Arial" w:hAnsi="Arial"/>
      <w:b/>
      <w:color w:val="000000" w:themeColor="text1"/>
    </w:rPr>
  </w:style>
  <w:style w:type="paragraph" w:styleId="Verzeichnis1">
    <w:name w:val="toc 1"/>
    <w:basedOn w:val="Standard"/>
    <w:next w:val="Standard"/>
    <w:autoRedefine/>
    <w:uiPriority w:val="39"/>
    <w:rsid w:val="008A0BBE"/>
    <w:pPr>
      <w:tabs>
        <w:tab w:val="left" w:pos="907"/>
        <w:tab w:val="right" w:pos="8494"/>
      </w:tabs>
      <w:spacing w:before="240" w:after="0"/>
      <w:ind w:left="907" w:hanging="907"/>
    </w:pPr>
    <w:rPr>
      <w:b/>
      <w:noProof/>
      <w:sz w:val="20"/>
    </w:rPr>
  </w:style>
  <w:style w:type="paragraph" w:styleId="Verzeichnis2">
    <w:name w:val="toc 2"/>
    <w:basedOn w:val="Standard"/>
    <w:next w:val="Standard"/>
    <w:autoRedefine/>
    <w:uiPriority w:val="39"/>
    <w:rsid w:val="008A0BBE"/>
    <w:pPr>
      <w:pBdr>
        <w:left w:val="single" w:sz="4" w:space="11" w:color="FFFFFF" w:themeColor="background1"/>
      </w:pBdr>
      <w:tabs>
        <w:tab w:val="left" w:pos="907"/>
        <w:tab w:val="right" w:pos="8494"/>
      </w:tabs>
      <w:spacing w:before="40" w:after="0"/>
      <w:ind w:left="907" w:hanging="907"/>
    </w:pPr>
    <w:rPr>
      <w:noProof/>
      <w:sz w:val="20"/>
    </w:rPr>
  </w:style>
  <w:style w:type="character" w:customStyle="1" w:styleId="berschrift3Zchn">
    <w:name w:val="Überschrift 3 Zchn"/>
    <w:basedOn w:val="Absatz-Standardschriftart"/>
    <w:link w:val="berschrift3"/>
    <w:uiPriority w:val="9"/>
    <w:rsid w:val="008A0BBE"/>
    <w:rPr>
      <w:rFonts w:ascii="Arial" w:hAnsi="Arial"/>
      <w:b/>
      <w:color w:val="7F7F7F"/>
      <w:sz w:val="24"/>
    </w:rPr>
  </w:style>
  <w:style w:type="character" w:customStyle="1" w:styleId="berschrift2Zchn">
    <w:name w:val="Überschrift 2 Zchn"/>
    <w:basedOn w:val="Absatz-Standardschriftart"/>
    <w:link w:val="berschrift2"/>
    <w:uiPriority w:val="9"/>
    <w:rsid w:val="008A0BBE"/>
    <w:rPr>
      <w:rFonts w:ascii="Arial" w:hAnsi="Arial"/>
      <w:color w:val="00ACE5" w:themeColor="accent1"/>
      <w:sz w:val="32"/>
    </w:rPr>
  </w:style>
  <w:style w:type="paragraph" w:styleId="Verzeichnis3">
    <w:name w:val="toc 3"/>
    <w:basedOn w:val="Standard"/>
    <w:next w:val="Standard"/>
    <w:autoRedefine/>
    <w:uiPriority w:val="39"/>
    <w:rsid w:val="008A0BBE"/>
    <w:pPr>
      <w:pBdr>
        <w:left w:val="single" w:sz="4" w:space="23" w:color="FFFFFF" w:themeColor="background1"/>
      </w:pBdr>
      <w:tabs>
        <w:tab w:val="left" w:pos="907"/>
        <w:tab w:val="right" w:pos="8494"/>
      </w:tabs>
      <w:spacing w:before="40" w:after="0"/>
      <w:ind w:left="907" w:hanging="907"/>
    </w:pPr>
    <w:rPr>
      <w:noProof/>
      <w:color w:val="000000" w:themeColor="text1"/>
      <w:sz w:val="20"/>
    </w:rPr>
  </w:style>
  <w:style w:type="paragraph" w:styleId="Verzeichnis4">
    <w:name w:val="toc 4"/>
    <w:basedOn w:val="Standard"/>
    <w:next w:val="Standard"/>
    <w:autoRedefine/>
    <w:uiPriority w:val="39"/>
    <w:rsid w:val="001A4386"/>
    <w:pPr>
      <w:pBdr>
        <w:left w:val="single" w:sz="4" w:space="31" w:color="FFFFFF" w:themeColor="background1"/>
      </w:pBdr>
      <w:tabs>
        <w:tab w:val="right" w:pos="8494"/>
      </w:tabs>
      <w:spacing w:before="40" w:after="0"/>
      <w:ind w:left="567"/>
    </w:pPr>
    <w:rPr>
      <w:noProof/>
      <w:sz w:val="20"/>
    </w:rPr>
  </w:style>
  <w:style w:type="character" w:styleId="Hyperlink">
    <w:name w:val="Hyperlink"/>
    <w:basedOn w:val="Absatz-Standardschriftart"/>
    <w:uiPriority w:val="99"/>
    <w:rsid w:val="00753F1D"/>
    <w:rPr>
      <w:color w:val="00ACE5" w:themeColor="hyperlink"/>
      <w:u w:val="single"/>
    </w:rPr>
  </w:style>
  <w:style w:type="character" w:styleId="Platzhaltertext">
    <w:name w:val="Placeholder Text"/>
    <w:basedOn w:val="Absatz-Standardschriftart"/>
    <w:uiPriority w:val="99"/>
    <w:semiHidden/>
    <w:rsid w:val="006A2C1A"/>
    <w:rPr>
      <w:color w:val="808080"/>
    </w:rPr>
  </w:style>
  <w:style w:type="paragraph" w:styleId="Funotentext">
    <w:name w:val="footnote text"/>
    <w:basedOn w:val="Standard"/>
    <w:link w:val="FunotentextZchn"/>
    <w:uiPriority w:val="99"/>
    <w:semiHidden/>
    <w:rsid w:val="007E1377"/>
    <w:pPr>
      <w:spacing w:after="0" w:line="240" w:lineRule="auto"/>
      <w:ind w:left="113" w:hanging="113"/>
    </w:pPr>
    <w:rPr>
      <w:sz w:val="14"/>
      <w:szCs w:val="20"/>
    </w:rPr>
  </w:style>
  <w:style w:type="character" w:customStyle="1" w:styleId="FunotentextZchn">
    <w:name w:val="Fußnotentext Zchn"/>
    <w:basedOn w:val="Absatz-Standardschriftart"/>
    <w:link w:val="Funotentext"/>
    <w:uiPriority w:val="99"/>
    <w:semiHidden/>
    <w:rsid w:val="00434195"/>
    <w:rPr>
      <w:rFonts w:ascii="Arial" w:hAnsi="Arial"/>
      <w:sz w:val="14"/>
      <w:szCs w:val="20"/>
    </w:rPr>
  </w:style>
  <w:style w:type="character" w:styleId="Funotenzeichen">
    <w:name w:val="footnote reference"/>
    <w:basedOn w:val="Absatz-Standardschriftart"/>
    <w:uiPriority w:val="99"/>
    <w:rsid w:val="007E1377"/>
    <w:rPr>
      <w:vertAlign w:val="superscript"/>
    </w:rPr>
  </w:style>
  <w:style w:type="paragraph" w:styleId="Endnotentext">
    <w:name w:val="endnote text"/>
    <w:basedOn w:val="Standard"/>
    <w:link w:val="EndnotentextZchn"/>
    <w:uiPriority w:val="99"/>
    <w:semiHidden/>
    <w:rsid w:val="007E137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434195"/>
    <w:rPr>
      <w:rFonts w:ascii="Arial" w:hAnsi="Arial"/>
      <w:sz w:val="20"/>
      <w:szCs w:val="20"/>
    </w:rPr>
  </w:style>
  <w:style w:type="character" w:styleId="Endnotenzeichen">
    <w:name w:val="endnote reference"/>
    <w:basedOn w:val="Absatz-Standardschriftart"/>
    <w:uiPriority w:val="99"/>
    <w:semiHidden/>
    <w:rsid w:val="007E1377"/>
    <w:rPr>
      <w:vertAlign w:val="superscript"/>
    </w:rPr>
  </w:style>
  <w:style w:type="paragraph" w:customStyle="1" w:styleId="AbsenderAnschrift">
    <w:name w:val="Absender Anschrift"/>
    <w:basedOn w:val="Flietext"/>
    <w:rsid w:val="00F1552E"/>
    <w:pPr>
      <w:pBdr>
        <w:top w:val="single" w:sz="4" w:space="1" w:color="00ACE5" w:themeColor="accent1"/>
        <w:bottom w:val="single" w:sz="4" w:space="1" w:color="00ACE5" w:themeColor="accent1"/>
        <w:between w:val="single" w:sz="4" w:space="1" w:color="00ACE5" w:themeColor="accent1"/>
        <w:bar w:val="single" w:sz="4" w:color="00ACE5" w:themeColor="accent1"/>
      </w:pBdr>
      <w:spacing w:after="454"/>
      <w:contextualSpacing/>
    </w:pPr>
  </w:style>
  <w:style w:type="paragraph" w:customStyle="1" w:styleId="GrafikTabelleFu">
    <w:name w:val="Grafik/Tabelle Fuß"/>
    <w:basedOn w:val="Standard"/>
    <w:next w:val="Flietext"/>
    <w:qFormat/>
    <w:rsid w:val="00C24CDB"/>
    <w:pPr>
      <w:spacing w:after="567" w:line="210" w:lineRule="atLeast"/>
      <w:contextualSpacing/>
    </w:pPr>
    <w:rPr>
      <w:sz w:val="16"/>
    </w:rPr>
  </w:style>
  <w:style w:type="character" w:customStyle="1" w:styleId="berschrift5Zchn">
    <w:name w:val="Überschrift 5 Zchn"/>
    <w:basedOn w:val="Absatz-Standardschriftart"/>
    <w:link w:val="berschrift5"/>
    <w:uiPriority w:val="9"/>
    <w:rsid w:val="008A0BBE"/>
    <w:rPr>
      <w:rFonts w:ascii="Arial" w:hAnsi="Arial"/>
      <w:b/>
      <w:color w:val="000000" w:themeColor="text1"/>
    </w:rPr>
  </w:style>
  <w:style w:type="table" w:styleId="Tabellenraster">
    <w:name w:val="Table Grid"/>
    <w:basedOn w:val="NormaleTabelle"/>
    <w:uiPriority w:val="39"/>
    <w:rsid w:val="00473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
    <w:name w:val="Tabelle"/>
    <w:basedOn w:val="NormaleTabelle"/>
    <w:uiPriority w:val="99"/>
    <w:rsid w:val="003A45E3"/>
    <w:pPr>
      <w:spacing w:after="0" w:line="210" w:lineRule="exact"/>
    </w:pPr>
    <w:rPr>
      <w:rFonts w:ascii="Arial" w:hAnsi="Arial"/>
      <w:sz w:val="16"/>
    </w:rPr>
    <w:tblPr>
      <w:tblStyleColBandSize w:val="1"/>
      <w:tblInd w:w="85" w:type="dxa"/>
      <w:tblBorders>
        <w:top w:val="single" w:sz="2" w:space="0" w:color="00ACE5" w:themeColor="accent1"/>
        <w:left w:val="single" w:sz="2" w:space="0" w:color="00ACE5" w:themeColor="accent1"/>
        <w:bottom w:val="single" w:sz="2" w:space="0" w:color="00ACE5" w:themeColor="accent1"/>
        <w:right w:val="single" w:sz="2" w:space="0" w:color="00ACE5" w:themeColor="accent1"/>
        <w:insideH w:val="single" w:sz="2" w:space="0" w:color="00ACE5" w:themeColor="accent1"/>
        <w:insideV w:val="single" w:sz="2" w:space="0" w:color="00ACE5" w:themeColor="accent1"/>
      </w:tblBorders>
      <w:tblCellMar>
        <w:top w:w="57" w:type="dxa"/>
        <w:left w:w="85" w:type="dxa"/>
        <w:bottom w:w="57" w:type="dxa"/>
        <w:right w:w="85" w:type="dxa"/>
      </w:tblCellMar>
    </w:tblPr>
    <w:tcPr>
      <w:vAlign w:val="center"/>
    </w:tcPr>
    <w:tblStylePr w:type="firstRow">
      <w:pPr>
        <w:keepNext/>
        <w:wordWrap/>
        <w:spacing w:beforeLines="0" w:before="0" w:beforeAutospacing="0" w:afterLines="0" w:after="0" w:afterAutospacing="0" w:line="210" w:lineRule="exact"/>
        <w:jc w:val="center"/>
      </w:pPr>
      <w:rPr>
        <w:rFonts w:ascii="Arial" w:hAnsi="Arial"/>
        <w:b/>
        <w:color w:val="FFFFFF" w:themeColor="background1"/>
        <w:sz w:val="20"/>
      </w:rPr>
      <w:tblPr/>
      <w:trPr>
        <w:tblHeader/>
      </w:trPr>
      <w:tcPr>
        <w:shd w:val="clear" w:color="auto" w:fill="8CA3AF" w:themeFill="accent2"/>
      </w:tcPr>
    </w:tblStylePr>
    <w:tblStylePr w:type="lastRow">
      <w:pPr>
        <w:keepNext/>
        <w:wordWrap/>
      </w:pPr>
    </w:tblStylePr>
    <w:tblStylePr w:type="firstCol">
      <w:pPr>
        <w:jc w:val="left"/>
      </w:pPr>
      <w:rPr>
        <w:rFonts w:ascii="Arial" w:hAnsi="Arial"/>
        <w:sz w:val="16"/>
      </w:rPr>
    </w:tblStylePr>
    <w:tblStylePr w:type="band1Vert">
      <w:pPr>
        <w:wordWrap/>
        <w:jc w:val="left"/>
      </w:pPr>
    </w:tblStylePr>
    <w:tblStylePr w:type="band2Vert">
      <w:pPr>
        <w:wordWrap/>
        <w:jc w:val="left"/>
      </w:pPr>
    </w:tblStylePr>
    <w:tblStylePr w:type="nwCell">
      <w:pPr>
        <w:wordWrap/>
        <w:spacing w:beforeLines="0" w:before="0" w:beforeAutospacing="0" w:afterLines="0" w:after="0" w:afterAutospacing="0" w:line="210" w:lineRule="exact"/>
        <w:jc w:val="left"/>
      </w:pPr>
    </w:tblStylePr>
  </w:style>
  <w:style w:type="table" w:customStyle="1" w:styleId="TabelleSumme">
    <w:name w:val="Tabelle Summe"/>
    <w:basedOn w:val="Tabelle"/>
    <w:uiPriority w:val="99"/>
    <w:rsid w:val="006462EB"/>
    <w:tblPr/>
    <w:tblStylePr w:type="firstRow">
      <w:pPr>
        <w:keepNext/>
        <w:wordWrap/>
        <w:spacing w:beforeLines="0" w:before="0" w:beforeAutospacing="0" w:afterLines="0" w:after="0" w:afterAutospacing="0" w:line="210" w:lineRule="exact"/>
        <w:jc w:val="center"/>
      </w:pPr>
      <w:rPr>
        <w:rFonts w:ascii="Arial" w:hAnsi="Arial"/>
        <w:b/>
        <w:color w:val="FFFFFF" w:themeColor="background1"/>
        <w:sz w:val="16"/>
      </w:rPr>
      <w:tblPr/>
      <w:trPr>
        <w:tblHeader/>
      </w:trPr>
      <w:tcPr>
        <w:shd w:val="clear" w:color="auto" w:fill="8CA3AF" w:themeFill="accent2"/>
      </w:tcPr>
    </w:tblStylePr>
    <w:tblStylePr w:type="lastRow">
      <w:pPr>
        <w:keepNext/>
        <w:wordWrap/>
        <w:jc w:val="right"/>
      </w:pPr>
      <w:rPr>
        <w:rFonts w:ascii="Arial" w:hAnsi="Arial"/>
        <w:sz w:val="16"/>
      </w:rPr>
      <w:tblPr/>
      <w:tcPr>
        <w:tcBorders>
          <w:top w:val="single" w:sz="8" w:space="0" w:color="00ACE5" w:themeColor="accent1"/>
          <w:left w:val="single" w:sz="2" w:space="0" w:color="00ACE5" w:themeColor="accent1"/>
          <w:bottom w:val="single" w:sz="4" w:space="0" w:color="00ACE5" w:themeColor="accent1"/>
          <w:right w:val="single" w:sz="2" w:space="0" w:color="00ACE5" w:themeColor="accent1"/>
          <w:insideH w:val="nil"/>
          <w:insideV w:val="single" w:sz="2" w:space="0" w:color="00ACE5" w:themeColor="accent1"/>
          <w:tl2br w:val="nil"/>
          <w:tr2bl w:val="nil"/>
        </w:tcBorders>
      </w:tcPr>
    </w:tblStylePr>
    <w:tblStylePr w:type="firstCol">
      <w:pPr>
        <w:jc w:val="left"/>
      </w:pPr>
      <w:rPr>
        <w:rFonts w:ascii="Arial" w:hAnsi="Arial"/>
        <w:sz w:val="16"/>
      </w:rPr>
    </w:tblStylePr>
    <w:tblStylePr w:type="band1Vert">
      <w:pPr>
        <w:wordWrap/>
        <w:jc w:val="left"/>
      </w:pPr>
    </w:tblStylePr>
    <w:tblStylePr w:type="band2Vert">
      <w:pPr>
        <w:wordWrap/>
        <w:jc w:val="left"/>
      </w:pPr>
    </w:tblStylePr>
    <w:tblStylePr w:type="nwCell">
      <w:pPr>
        <w:wordWrap/>
        <w:spacing w:beforeLines="0" w:before="0" w:beforeAutospacing="0" w:afterLines="0" w:after="0" w:afterAutospacing="0" w:line="210" w:lineRule="exact"/>
        <w:jc w:val="left"/>
      </w:pPr>
    </w:tblStylePr>
    <w:tblStylePr w:type="swCell">
      <w:pPr>
        <w:jc w:val="left"/>
      </w:pPr>
      <w:tblPr/>
      <w:tcPr>
        <w:vAlign w:val="bottom"/>
      </w:tcPr>
    </w:tblStylePr>
  </w:style>
  <w:style w:type="table" w:styleId="HelleSchattierung">
    <w:name w:val="Light Shading"/>
    <w:basedOn w:val="NormaleTabelle"/>
    <w:uiPriority w:val="60"/>
    <w:rsid w:val="007D30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GrafikTabelleZwischenberschrift">
    <w:name w:val="Grafik/Tabelle Zwischenüberschrift"/>
    <w:basedOn w:val="Flietext"/>
    <w:qFormat/>
    <w:rsid w:val="00A31ACF"/>
    <w:pPr>
      <w:keepNext/>
      <w:spacing w:before="0" w:after="0" w:line="210" w:lineRule="exact"/>
    </w:pPr>
    <w:rPr>
      <w:b/>
      <w:color w:val="00ACE5" w:themeColor="accent1"/>
      <w:sz w:val="16"/>
    </w:rPr>
  </w:style>
  <w:style w:type="paragraph" w:customStyle="1" w:styleId="GrafikTabelle">
    <w:name w:val="Grafik/Tabelle"/>
    <w:basedOn w:val="Standard"/>
    <w:qFormat/>
    <w:rsid w:val="00C24CDB"/>
    <w:pPr>
      <w:spacing w:before="0" w:after="0" w:line="210" w:lineRule="atLeast"/>
    </w:pPr>
    <w:rPr>
      <w:sz w:val="16"/>
    </w:rPr>
  </w:style>
  <w:style w:type="paragraph" w:customStyle="1" w:styleId="GrafikTabelleberschrift">
    <w:name w:val="Grafik/Tabelle Überschrift"/>
    <w:next w:val="Flietext"/>
    <w:qFormat/>
    <w:rsid w:val="00E20A4A"/>
    <w:pPr>
      <w:keepNext/>
      <w:keepLines/>
      <w:spacing w:before="500" w:line="200" w:lineRule="atLeast"/>
    </w:pPr>
    <w:rPr>
      <w:rFonts w:ascii="Arial" w:hAnsi="Arial"/>
      <w:b/>
      <w:sz w:val="18"/>
    </w:rPr>
  </w:style>
  <w:style w:type="paragraph" w:styleId="Kommentartext">
    <w:name w:val="annotation text"/>
    <w:basedOn w:val="Standard"/>
    <w:link w:val="KommentartextZchn"/>
    <w:uiPriority w:val="99"/>
    <w:semiHidden/>
    <w:unhideWhenUsed/>
    <w:rsid w:val="00101C7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01C74"/>
    <w:rPr>
      <w:rFonts w:ascii="Arial" w:hAnsi="Arial"/>
      <w:sz w:val="20"/>
      <w:szCs w:val="20"/>
    </w:rPr>
  </w:style>
  <w:style w:type="character" w:styleId="Kommentarzeichen">
    <w:name w:val="annotation reference"/>
    <w:basedOn w:val="Absatz-Standardschriftart"/>
    <w:unhideWhenUsed/>
    <w:rsid w:val="00101C74"/>
    <w:rPr>
      <w:sz w:val="16"/>
      <w:szCs w:val="16"/>
    </w:rPr>
  </w:style>
  <w:style w:type="paragraph" w:customStyle="1" w:styleId="Absender">
    <w:name w:val="Absender"/>
    <w:next w:val="AbsenderAnschrift"/>
    <w:rsid w:val="003A4048"/>
    <w:pPr>
      <w:numPr>
        <w:numId w:val="30"/>
      </w:numPr>
      <w:tabs>
        <w:tab w:val="left" w:pos="0"/>
      </w:tabs>
      <w:spacing w:after="567" w:line="480" w:lineRule="exact"/>
      <w:ind w:left="0" w:hanging="567"/>
    </w:pPr>
    <w:rPr>
      <w:rFonts w:ascii="Arial" w:hAnsi="Arial"/>
      <w:color w:val="000000" w:themeColor="text1"/>
      <w:sz w:val="40"/>
    </w:rPr>
  </w:style>
  <w:style w:type="paragraph" w:customStyle="1" w:styleId="Entwurf">
    <w:name w:val="Entwurf"/>
    <w:next w:val="Flietext"/>
    <w:rsid w:val="008A0BBE"/>
    <w:pPr>
      <w:numPr>
        <w:numId w:val="33"/>
      </w:numPr>
      <w:tabs>
        <w:tab w:val="left" w:pos="567"/>
      </w:tabs>
      <w:spacing w:before="1701" w:line="560" w:lineRule="exact"/>
      <w:ind w:left="567" w:right="2268" w:hanging="567"/>
    </w:pPr>
    <w:rPr>
      <w:rFonts w:ascii="Arial" w:hAnsi="Arial"/>
      <w:color w:val="E95F47" w:themeColor="accent3"/>
      <w:sz w:val="40"/>
    </w:rPr>
  </w:style>
  <w:style w:type="paragraph" w:customStyle="1" w:styleId="Inhaltsverzeichnis">
    <w:name w:val="Inhaltsverzeichnis"/>
    <w:next w:val="Flietext"/>
    <w:rsid w:val="008A0BBE"/>
    <w:rPr>
      <w:rFonts w:ascii="Arial" w:hAnsi="Arial"/>
      <w:caps/>
      <w:sz w:val="40"/>
    </w:rPr>
  </w:style>
  <w:style w:type="paragraph" w:customStyle="1" w:styleId="GrafikTabelleInhaltZahl">
    <w:name w:val="Grafik/Tabelle Inhalt Zahl"/>
    <w:basedOn w:val="GrafikTabelle"/>
    <w:rsid w:val="002E0238"/>
    <w:pPr>
      <w:jc w:val="right"/>
    </w:pPr>
  </w:style>
  <w:style w:type="paragraph" w:customStyle="1" w:styleId="GrafikTabelleInhaltText">
    <w:name w:val="Grafik/Tabelle Inhalt Text"/>
    <w:basedOn w:val="GrafikTabelle"/>
    <w:rsid w:val="00C02783"/>
    <w:pPr>
      <w:keepNext/>
    </w:pPr>
  </w:style>
  <w:style w:type="paragraph" w:customStyle="1" w:styleId="GrafikTabelleInhalt">
    <w:name w:val="Grafik/Tabelle Inhalt"/>
    <w:basedOn w:val="Standard"/>
    <w:qFormat/>
    <w:rsid w:val="00E454C1"/>
    <w:pPr>
      <w:spacing w:before="0" w:after="0" w:line="210" w:lineRule="atLeast"/>
    </w:pPr>
    <w:rPr>
      <w:sz w:val="16"/>
    </w:rPr>
  </w:style>
  <w:style w:type="character" w:styleId="NichtaufgelsteErwhnung">
    <w:name w:val="Unresolved Mention"/>
    <w:basedOn w:val="Absatz-Standardschriftart"/>
    <w:uiPriority w:val="99"/>
    <w:semiHidden/>
    <w:unhideWhenUsed/>
    <w:rsid w:val="00C214E4"/>
    <w:rPr>
      <w:color w:val="605E5C"/>
      <w:shd w:val="clear" w:color="auto" w:fill="E1DFDD"/>
    </w:rPr>
  </w:style>
  <w:style w:type="character" w:customStyle="1" w:styleId="berschrift6Zchn">
    <w:name w:val="Überschrift 6 Zchn"/>
    <w:basedOn w:val="Absatz-Standardschriftart"/>
    <w:link w:val="berschrift6"/>
    <w:uiPriority w:val="9"/>
    <w:semiHidden/>
    <w:rsid w:val="00A53614"/>
    <w:rPr>
      <w:rFonts w:asciiTheme="majorHAnsi" w:eastAsiaTheme="majorEastAsia" w:hAnsiTheme="majorHAnsi" w:cstheme="majorBidi"/>
      <w:color w:val="005572" w:themeColor="accent1" w:themeShade="7F"/>
    </w:rPr>
  </w:style>
  <w:style w:type="character" w:customStyle="1" w:styleId="berschrift7Zchn">
    <w:name w:val="Überschrift 7 Zchn"/>
    <w:basedOn w:val="Absatz-Standardschriftart"/>
    <w:link w:val="berschrift7"/>
    <w:uiPriority w:val="9"/>
    <w:semiHidden/>
    <w:rsid w:val="000B11EB"/>
    <w:rPr>
      <w:rFonts w:asciiTheme="majorHAnsi" w:eastAsiaTheme="majorEastAsia" w:hAnsiTheme="majorHAnsi" w:cstheme="majorBidi"/>
      <w:i/>
      <w:iCs/>
      <w:color w:val="005572" w:themeColor="accent1" w:themeShade="7F"/>
    </w:rPr>
  </w:style>
  <w:style w:type="character" w:customStyle="1" w:styleId="berschrift8Zchn">
    <w:name w:val="Überschrift 8 Zchn"/>
    <w:basedOn w:val="Absatz-Standardschriftart"/>
    <w:link w:val="berschrift8"/>
    <w:uiPriority w:val="9"/>
    <w:semiHidden/>
    <w:rsid w:val="000B11E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B11EB"/>
    <w:rPr>
      <w:rFonts w:asciiTheme="majorHAnsi" w:eastAsiaTheme="majorEastAsia" w:hAnsiTheme="majorHAnsi" w:cstheme="majorBidi"/>
      <w:i/>
      <w:iCs/>
      <w:color w:val="272727" w:themeColor="text1" w:themeTint="D8"/>
      <w:sz w:val="21"/>
      <w:szCs w:val="21"/>
    </w:rPr>
  </w:style>
  <w:style w:type="numbering" w:customStyle="1" w:styleId="Prfbericht-Liste">
    <w:name w:val="Prüfbericht-Liste"/>
    <w:uiPriority w:val="99"/>
    <w:rsid w:val="00137CE4"/>
    <w:pPr>
      <w:numPr>
        <w:numId w:val="26"/>
      </w:numPr>
    </w:pPr>
  </w:style>
  <w:style w:type="paragraph" w:customStyle="1" w:styleId="FlietextKIWI">
    <w:name w:val="Fließtext KIWI"/>
    <w:basedOn w:val="Flietext"/>
    <w:qFormat/>
    <w:rsid w:val="006F7C86"/>
    <w:pPr>
      <w:pBdr>
        <w:left w:val="single" w:sz="4" w:space="28" w:color="DCE3E7"/>
        <w:bottom w:val="single" w:sz="4" w:space="14" w:color="DCE3E7"/>
        <w:right w:val="single" w:sz="4" w:space="14" w:color="DCE3E7"/>
      </w:pBdr>
      <w:shd w:val="clear" w:color="auto" w:fill="DCE3E7"/>
      <w:spacing w:before="0" w:after="0"/>
      <w:ind w:left="567" w:right="284"/>
      <w:contextualSpacing/>
    </w:pPr>
  </w:style>
  <w:style w:type="table" w:styleId="Gitternetztabelle1hellAkzent5">
    <w:name w:val="Grid Table 1 Light Accent 5"/>
    <w:basedOn w:val="NormaleTabelle"/>
    <w:uiPriority w:val="46"/>
    <w:rsid w:val="006F7C86"/>
    <w:pPr>
      <w:spacing w:after="0" w:line="240" w:lineRule="auto"/>
    </w:pPr>
    <w:tblPr>
      <w:tblStyleRowBandSize w:val="1"/>
      <w:tblStyleColBandSize w:val="1"/>
      <w:tblBorders>
        <w:top w:val="single" w:sz="4" w:space="0" w:color="F8F9FA" w:themeColor="accent5" w:themeTint="66"/>
        <w:left w:val="single" w:sz="4" w:space="0" w:color="F8F9FA" w:themeColor="accent5" w:themeTint="66"/>
        <w:bottom w:val="single" w:sz="4" w:space="0" w:color="F8F9FA" w:themeColor="accent5" w:themeTint="66"/>
        <w:right w:val="single" w:sz="4" w:space="0" w:color="F8F9FA" w:themeColor="accent5" w:themeTint="66"/>
        <w:insideH w:val="single" w:sz="4" w:space="0" w:color="F8F9FA" w:themeColor="accent5" w:themeTint="66"/>
        <w:insideV w:val="single" w:sz="4" w:space="0" w:color="F8F9FA" w:themeColor="accent5" w:themeTint="66"/>
      </w:tblBorders>
    </w:tblPr>
    <w:tblStylePr w:type="firstRow">
      <w:rPr>
        <w:b/>
        <w:bCs/>
      </w:rPr>
      <w:tblPr/>
      <w:tcPr>
        <w:tcBorders>
          <w:bottom w:val="single" w:sz="12" w:space="0" w:color="F4F6F7" w:themeColor="accent5" w:themeTint="99"/>
        </w:tcBorders>
      </w:tcPr>
    </w:tblStylePr>
    <w:tblStylePr w:type="lastRow">
      <w:rPr>
        <w:b/>
        <w:bCs/>
      </w:rPr>
      <w:tblPr/>
      <w:tcPr>
        <w:tcBorders>
          <w:top w:val="double" w:sz="2" w:space="0" w:color="F4F6F7" w:themeColor="accent5" w:themeTint="99"/>
        </w:tcBorders>
      </w:tcPr>
    </w:tblStylePr>
    <w:tblStylePr w:type="firstCol">
      <w:rPr>
        <w:b/>
        <w:bCs/>
      </w:rPr>
    </w:tblStylePr>
    <w:tblStylePr w:type="lastCol">
      <w:rPr>
        <w:b/>
        <w:bCs/>
      </w:rPr>
    </w:tblStylePr>
  </w:style>
  <w:style w:type="paragraph" w:customStyle="1" w:styleId="berschrift1ohneNummerierung">
    <w:name w:val="Überschrift 1 ohne Nummerierung"/>
    <w:basedOn w:val="berschrift1"/>
    <w:next w:val="Flietext"/>
    <w:qFormat/>
    <w:rsid w:val="008A0BBE"/>
    <w:pPr>
      <w:pageBreakBefore w:val="0"/>
      <w:numPr>
        <w:numId w:val="0"/>
      </w:numPr>
      <w:outlineLvl w:val="9"/>
    </w:pPr>
  </w:style>
  <w:style w:type="paragraph" w:customStyle="1" w:styleId="Textbody">
    <w:name w:val="Text body"/>
    <w:basedOn w:val="Standard"/>
    <w:rsid w:val="003170C2"/>
    <w:pPr>
      <w:tabs>
        <w:tab w:val="left" w:pos="284"/>
      </w:tabs>
      <w:autoSpaceDN w:val="0"/>
      <w:textAlignment w:val="baseline"/>
    </w:pPr>
    <w:rPr>
      <w:rFonts w:eastAsia="Arial" w:cs="Arial"/>
      <w:sz w:val="20"/>
    </w:rPr>
  </w:style>
  <w:style w:type="character" w:customStyle="1" w:styleId="KommentartextZchn1">
    <w:name w:val="Kommentartext Zchn1"/>
    <w:basedOn w:val="Absatz-Standardschriftart"/>
    <w:uiPriority w:val="99"/>
    <w:semiHidden/>
    <w:rsid w:val="003170C2"/>
    <w:rPr>
      <w:rFonts w:ascii="Arial" w:eastAsia="Arial" w:hAnsi="Arial" w:cs="Arial"/>
      <w:sz w:val="20"/>
      <w:szCs w:val="20"/>
    </w:rPr>
  </w:style>
  <w:style w:type="character" w:customStyle="1" w:styleId="FunotentextZchn1">
    <w:name w:val="Fußnotentext Zchn1"/>
    <w:basedOn w:val="Absatz-Standardschriftart"/>
    <w:uiPriority w:val="99"/>
    <w:semiHidden/>
    <w:rsid w:val="000D27FB"/>
    <w:rPr>
      <w:rFonts w:ascii="Arial" w:eastAsia="Arial" w:hAnsi="Arial" w:cs="Arial"/>
      <w:sz w:val="20"/>
      <w:szCs w:val="20"/>
    </w:rPr>
  </w:style>
  <w:style w:type="paragraph" w:customStyle="1" w:styleId="Footnote">
    <w:name w:val="Footnote"/>
    <w:basedOn w:val="Standard"/>
    <w:rsid w:val="000D27FB"/>
    <w:pPr>
      <w:autoSpaceDN w:val="0"/>
      <w:spacing w:after="0" w:line="240" w:lineRule="auto"/>
      <w:ind w:left="113" w:hanging="113"/>
      <w:textAlignment w:val="baseline"/>
    </w:pPr>
    <w:rPr>
      <w:rFonts w:eastAsia="Arial" w:cs="Arial"/>
      <w:sz w:val="14"/>
      <w:szCs w:val="20"/>
    </w:rPr>
  </w:style>
  <w:style w:type="numbering" w:customStyle="1" w:styleId="WWNum34">
    <w:name w:val="WWNum34"/>
    <w:basedOn w:val="KeineListe"/>
    <w:rsid w:val="000D27FB"/>
    <w:pPr>
      <w:numPr>
        <w:numId w:val="39"/>
      </w:numPr>
    </w:pPr>
  </w:style>
  <w:style w:type="numbering" w:customStyle="1" w:styleId="WWNum2">
    <w:name w:val="WWNum2"/>
    <w:basedOn w:val="KeineListe"/>
    <w:rsid w:val="0002784D"/>
    <w:pPr>
      <w:numPr>
        <w:numId w:val="47"/>
      </w:numPr>
    </w:pPr>
  </w:style>
  <w:style w:type="numbering" w:customStyle="1" w:styleId="WWNum10">
    <w:name w:val="WWNum10"/>
    <w:basedOn w:val="KeineListe"/>
    <w:rsid w:val="0002784D"/>
    <w:pPr>
      <w:numPr>
        <w:numId w:val="42"/>
      </w:numPr>
    </w:pPr>
  </w:style>
  <w:style w:type="numbering" w:customStyle="1" w:styleId="WWNum11">
    <w:name w:val="WWNum11"/>
    <w:basedOn w:val="KeineListe"/>
    <w:rsid w:val="00380963"/>
    <w:pPr>
      <w:numPr>
        <w:numId w:val="43"/>
      </w:numPr>
    </w:pPr>
  </w:style>
  <w:style w:type="paragraph" w:customStyle="1" w:styleId="KIWI-Bewertung">
    <w:name w:val="KIWI-Bewertung"/>
    <w:basedOn w:val="FeststellungEmpfehlung"/>
    <w:next w:val="FlietextKIWI"/>
    <w:rsid w:val="006614EB"/>
    <w:pPr>
      <w:numPr>
        <w:numId w:val="44"/>
      </w:numPr>
      <w:pBdr>
        <w:top w:val="single" w:sz="4" w:space="14" w:color="DCE3E7"/>
        <w:left w:val="single" w:sz="4" w:space="14" w:color="DCE3E7"/>
        <w:bottom w:val="single" w:sz="4" w:space="0" w:color="DCE3E7"/>
        <w:right w:val="single" w:sz="4" w:space="14" w:color="DCE3E7"/>
      </w:pBdr>
      <w:shd w:val="clear" w:color="auto" w:fill="DCE3E7"/>
      <w:tabs>
        <w:tab w:val="clear" w:pos="284"/>
        <w:tab w:val="left" w:pos="1135"/>
      </w:tabs>
      <w:autoSpaceDN w:val="0"/>
      <w:ind w:right="284"/>
      <w:textAlignment w:val="baseline"/>
    </w:pPr>
    <w:rPr>
      <w:rFonts w:eastAsia="Arial" w:cs="Arial"/>
    </w:rPr>
  </w:style>
  <w:style w:type="numbering" w:customStyle="1" w:styleId="WWNum1">
    <w:name w:val="WWNum1"/>
    <w:basedOn w:val="KeineListe"/>
    <w:rsid w:val="006614EB"/>
    <w:pPr>
      <w:numPr>
        <w:numId w:val="44"/>
      </w:numPr>
    </w:pPr>
  </w:style>
  <w:style w:type="numbering" w:customStyle="1" w:styleId="WWNum36">
    <w:name w:val="WWNum36"/>
    <w:basedOn w:val="KeineListe"/>
    <w:rsid w:val="00254CE7"/>
    <w:pPr>
      <w:numPr>
        <w:numId w:val="45"/>
      </w:numPr>
    </w:pPr>
  </w:style>
  <w:style w:type="character" w:styleId="BesuchterLink">
    <w:name w:val="FollowedHyperlink"/>
    <w:basedOn w:val="Absatz-Standardschriftart"/>
    <w:uiPriority w:val="99"/>
    <w:semiHidden/>
    <w:unhideWhenUsed/>
    <w:rsid w:val="00AA1C0D"/>
    <w:rPr>
      <w:color w:val="005980" w:themeColor="followedHyperlink"/>
      <w:u w:val="single"/>
    </w:rPr>
  </w:style>
  <w:style w:type="paragraph" w:styleId="berarbeitung">
    <w:name w:val="Revision"/>
    <w:hidden/>
    <w:uiPriority w:val="99"/>
    <w:semiHidden/>
    <w:rsid w:val="00AB4ECF"/>
    <w:pPr>
      <w:spacing w:after="0" w:line="240" w:lineRule="auto"/>
    </w:pPr>
    <w:rPr>
      <w:rFonts w:ascii="Arial" w:hAnsi="Arial"/>
    </w:rPr>
  </w:style>
  <w:style w:type="paragraph" w:styleId="Kommentarthema">
    <w:name w:val="annotation subject"/>
    <w:basedOn w:val="Kommentartext"/>
    <w:next w:val="Kommentartext"/>
    <w:link w:val="KommentarthemaZchn"/>
    <w:uiPriority w:val="99"/>
    <w:semiHidden/>
    <w:unhideWhenUsed/>
    <w:rsid w:val="0084538E"/>
    <w:rPr>
      <w:b/>
      <w:bCs/>
    </w:rPr>
  </w:style>
  <w:style w:type="character" w:customStyle="1" w:styleId="KommentarthemaZchn">
    <w:name w:val="Kommentarthema Zchn"/>
    <w:basedOn w:val="KommentartextZchn"/>
    <w:link w:val="Kommentarthema"/>
    <w:uiPriority w:val="99"/>
    <w:semiHidden/>
    <w:rsid w:val="0084538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686">
      <w:bodyDiv w:val="1"/>
      <w:marLeft w:val="0"/>
      <w:marRight w:val="0"/>
      <w:marTop w:val="0"/>
      <w:marBottom w:val="0"/>
      <w:divBdr>
        <w:top w:val="none" w:sz="0" w:space="0" w:color="auto"/>
        <w:left w:val="none" w:sz="0" w:space="0" w:color="auto"/>
        <w:bottom w:val="none" w:sz="0" w:space="0" w:color="auto"/>
        <w:right w:val="none" w:sz="0" w:space="0" w:color="auto"/>
      </w:divBdr>
    </w:div>
    <w:div w:id="204568524">
      <w:bodyDiv w:val="1"/>
      <w:marLeft w:val="0"/>
      <w:marRight w:val="0"/>
      <w:marTop w:val="0"/>
      <w:marBottom w:val="0"/>
      <w:divBdr>
        <w:top w:val="none" w:sz="0" w:space="0" w:color="auto"/>
        <w:left w:val="none" w:sz="0" w:space="0" w:color="auto"/>
        <w:bottom w:val="none" w:sz="0" w:space="0" w:color="auto"/>
        <w:right w:val="none" w:sz="0" w:space="0" w:color="auto"/>
      </w:divBdr>
    </w:div>
    <w:div w:id="391125024">
      <w:bodyDiv w:val="1"/>
      <w:marLeft w:val="0"/>
      <w:marRight w:val="0"/>
      <w:marTop w:val="0"/>
      <w:marBottom w:val="0"/>
      <w:divBdr>
        <w:top w:val="none" w:sz="0" w:space="0" w:color="auto"/>
        <w:left w:val="none" w:sz="0" w:space="0" w:color="auto"/>
        <w:bottom w:val="none" w:sz="0" w:space="0" w:color="auto"/>
        <w:right w:val="none" w:sz="0" w:space="0" w:color="auto"/>
      </w:divBdr>
    </w:div>
    <w:div w:id="394086906">
      <w:bodyDiv w:val="1"/>
      <w:marLeft w:val="0"/>
      <w:marRight w:val="0"/>
      <w:marTop w:val="0"/>
      <w:marBottom w:val="0"/>
      <w:divBdr>
        <w:top w:val="none" w:sz="0" w:space="0" w:color="auto"/>
        <w:left w:val="none" w:sz="0" w:space="0" w:color="auto"/>
        <w:bottom w:val="none" w:sz="0" w:space="0" w:color="auto"/>
        <w:right w:val="none" w:sz="0" w:space="0" w:color="auto"/>
      </w:divBdr>
    </w:div>
    <w:div w:id="682979230">
      <w:bodyDiv w:val="1"/>
      <w:marLeft w:val="0"/>
      <w:marRight w:val="0"/>
      <w:marTop w:val="0"/>
      <w:marBottom w:val="0"/>
      <w:divBdr>
        <w:top w:val="none" w:sz="0" w:space="0" w:color="auto"/>
        <w:left w:val="none" w:sz="0" w:space="0" w:color="auto"/>
        <w:bottom w:val="none" w:sz="0" w:space="0" w:color="auto"/>
        <w:right w:val="none" w:sz="0" w:space="0" w:color="auto"/>
      </w:divBdr>
    </w:div>
    <w:div w:id="786394918">
      <w:bodyDiv w:val="1"/>
      <w:marLeft w:val="0"/>
      <w:marRight w:val="0"/>
      <w:marTop w:val="0"/>
      <w:marBottom w:val="0"/>
      <w:divBdr>
        <w:top w:val="none" w:sz="0" w:space="0" w:color="auto"/>
        <w:left w:val="none" w:sz="0" w:space="0" w:color="auto"/>
        <w:bottom w:val="none" w:sz="0" w:space="0" w:color="auto"/>
        <w:right w:val="none" w:sz="0" w:space="0" w:color="auto"/>
      </w:divBdr>
    </w:div>
    <w:div w:id="847136938">
      <w:bodyDiv w:val="1"/>
      <w:marLeft w:val="0"/>
      <w:marRight w:val="0"/>
      <w:marTop w:val="0"/>
      <w:marBottom w:val="0"/>
      <w:divBdr>
        <w:top w:val="none" w:sz="0" w:space="0" w:color="auto"/>
        <w:left w:val="none" w:sz="0" w:space="0" w:color="auto"/>
        <w:bottom w:val="none" w:sz="0" w:space="0" w:color="auto"/>
        <w:right w:val="none" w:sz="0" w:space="0" w:color="auto"/>
      </w:divBdr>
    </w:div>
    <w:div w:id="856037960">
      <w:bodyDiv w:val="1"/>
      <w:marLeft w:val="0"/>
      <w:marRight w:val="0"/>
      <w:marTop w:val="0"/>
      <w:marBottom w:val="0"/>
      <w:divBdr>
        <w:top w:val="none" w:sz="0" w:space="0" w:color="auto"/>
        <w:left w:val="none" w:sz="0" w:space="0" w:color="auto"/>
        <w:bottom w:val="none" w:sz="0" w:space="0" w:color="auto"/>
        <w:right w:val="none" w:sz="0" w:space="0" w:color="auto"/>
      </w:divBdr>
    </w:div>
    <w:div w:id="880896411">
      <w:bodyDiv w:val="1"/>
      <w:marLeft w:val="0"/>
      <w:marRight w:val="0"/>
      <w:marTop w:val="0"/>
      <w:marBottom w:val="0"/>
      <w:divBdr>
        <w:top w:val="none" w:sz="0" w:space="0" w:color="auto"/>
        <w:left w:val="none" w:sz="0" w:space="0" w:color="auto"/>
        <w:bottom w:val="none" w:sz="0" w:space="0" w:color="auto"/>
        <w:right w:val="none" w:sz="0" w:space="0" w:color="auto"/>
      </w:divBdr>
    </w:div>
    <w:div w:id="894581707">
      <w:bodyDiv w:val="1"/>
      <w:marLeft w:val="0"/>
      <w:marRight w:val="0"/>
      <w:marTop w:val="0"/>
      <w:marBottom w:val="0"/>
      <w:divBdr>
        <w:top w:val="none" w:sz="0" w:space="0" w:color="auto"/>
        <w:left w:val="none" w:sz="0" w:space="0" w:color="auto"/>
        <w:bottom w:val="none" w:sz="0" w:space="0" w:color="auto"/>
        <w:right w:val="none" w:sz="0" w:space="0" w:color="auto"/>
      </w:divBdr>
    </w:div>
    <w:div w:id="1006589849">
      <w:bodyDiv w:val="1"/>
      <w:marLeft w:val="0"/>
      <w:marRight w:val="0"/>
      <w:marTop w:val="0"/>
      <w:marBottom w:val="0"/>
      <w:divBdr>
        <w:top w:val="none" w:sz="0" w:space="0" w:color="auto"/>
        <w:left w:val="none" w:sz="0" w:space="0" w:color="auto"/>
        <w:bottom w:val="none" w:sz="0" w:space="0" w:color="auto"/>
        <w:right w:val="none" w:sz="0" w:space="0" w:color="auto"/>
      </w:divBdr>
    </w:div>
    <w:div w:id="1030689031">
      <w:bodyDiv w:val="1"/>
      <w:marLeft w:val="0"/>
      <w:marRight w:val="0"/>
      <w:marTop w:val="0"/>
      <w:marBottom w:val="0"/>
      <w:divBdr>
        <w:top w:val="none" w:sz="0" w:space="0" w:color="auto"/>
        <w:left w:val="none" w:sz="0" w:space="0" w:color="auto"/>
        <w:bottom w:val="none" w:sz="0" w:space="0" w:color="auto"/>
        <w:right w:val="none" w:sz="0" w:space="0" w:color="auto"/>
      </w:divBdr>
    </w:div>
    <w:div w:id="1045451555">
      <w:bodyDiv w:val="1"/>
      <w:marLeft w:val="0"/>
      <w:marRight w:val="0"/>
      <w:marTop w:val="0"/>
      <w:marBottom w:val="0"/>
      <w:divBdr>
        <w:top w:val="none" w:sz="0" w:space="0" w:color="auto"/>
        <w:left w:val="none" w:sz="0" w:space="0" w:color="auto"/>
        <w:bottom w:val="none" w:sz="0" w:space="0" w:color="auto"/>
        <w:right w:val="none" w:sz="0" w:space="0" w:color="auto"/>
      </w:divBdr>
    </w:div>
    <w:div w:id="1051342118">
      <w:bodyDiv w:val="1"/>
      <w:marLeft w:val="0"/>
      <w:marRight w:val="0"/>
      <w:marTop w:val="0"/>
      <w:marBottom w:val="0"/>
      <w:divBdr>
        <w:top w:val="none" w:sz="0" w:space="0" w:color="auto"/>
        <w:left w:val="none" w:sz="0" w:space="0" w:color="auto"/>
        <w:bottom w:val="none" w:sz="0" w:space="0" w:color="auto"/>
        <w:right w:val="none" w:sz="0" w:space="0" w:color="auto"/>
      </w:divBdr>
    </w:div>
    <w:div w:id="1081411606">
      <w:bodyDiv w:val="1"/>
      <w:marLeft w:val="0"/>
      <w:marRight w:val="0"/>
      <w:marTop w:val="0"/>
      <w:marBottom w:val="0"/>
      <w:divBdr>
        <w:top w:val="none" w:sz="0" w:space="0" w:color="auto"/>
        <w:left w:val="none" w:sz="0" w:space="0" w:color="auto"/>
        <w:bottom w:val="none" w:sz="0" w:space="0" w:color="auto"/>
        <w:right w:val="none" w:sz="0" w:space="0" w:color="auto"/>
      </w:divBdr>
    </w:div>
    <w:div w:id="1101293967">
      <w:bodyDiv w:val="1"/>
      <w:marLeft w:val="0"/>
      <w:marRight w:val="0"/>
      <w:marTop w:val="0"/>
      <w:marBottom w:val="0"/>
      <w:divBdr>
        <w:top w:val="none" w:sz="0" w:space="0" w:color="auto"/>
        <w:left w:val="none" w:sz="0" w:space="0" w:color="auto"/>
        <w:bottom w:val="none" w:sz="0" w:space="0" w:color="auto"/>
        <w:right w:val="none" w:sz="0" w:space="0" w:color="auto"/>
      </w:divBdr>
    </w:div>
    <w:div w:id="1122186626">
      <w:bodyDiv w:val="1"/>
      <w:marLeft w:val="0"/>
      <w:marRight w:val="0"/>
      <w:marTop w:val="0"/>
      <w:marBottom w:val="0"/>
      <w:divBdr>
        <w:top w:val="none" w:sz="0" w:space="0" w:color="auto"/>
        <w:left w:val="none" w:sz="0" w:space="0" w:color="auto"/>
        <w:bottom w:val="none" w:sz="0" w:space="0" w:color="auto"/>
        <w:right w:val="none" w:sz="0" w:space="0" w:color="auto"/>
      </w:divBdr>
    </w:div>
    <w:div w:id="1149319739">
      <w:bodyDiv w:val="1"/>
      <w:marLeft w:val="0"/>
      <w:marRight w:val="0"/>
      <w:marTop w:val="0"/>
      <w:marBottom w:val="0"/>
      <w:divBdr>
        <w:top w:val="none" w:sz="0" w:space="0" w:color="auto"/>
        <w:left w:val="none" w:sz="0" w:space="0" w:color="auto"/>
        <w:bottom w:val="none" w:sz="0" w:space="0" w:color="auto"/>
        <w:right w:val="none" w:sz="0" w:space="0" w:color="auto"/>
      </w:divBdr>
    </w:div>
    <w:div w:id="1267888692">
      <w:bodyDiv w:val="1"/>
      <w:marLeft w:val="0"/>
      <w:marRight w:val="0"/>
      <w:marTop w:val="0"/>
      <w:marBottom w:val="0"/>
      <w:divBdr>
        <w:top w:val="none" w:sz="0" w:space="0" w:color="auto"/>
        <w:left w:val="none" w:sz="0" w:space="0" w:color="auto"/>
        <w:bottom w:val="none" w:sz="0" w:space="0" w:color="auto"/>
        <w:right w:val="none" w:sz="0" w:space="0" w:color="auto"/>
      </w:divBdr>
    </w:div>
    <w:div w:id="1305161273">
      <w:bodyDiv w:val="1"/>
      <w:marLeft w:val="0"/>
      <w:marRight w:val="0"/>
      <w:marTop w:val="0"/>
      <w:marBottom w:val="0"/>
      <w:divBdr>
        <w:top w:val="none" w:sz="0" w:space="0" w:color="auto"/>
        <w:left w:val="none" w:sz="0" w:space="0" w:color="auto"/>
        <w:bottom w:val="none" w:sz="0" w:space="0" w:color="auto"/>
        <w:right w:val="none" w:sz="0" w:space="0" w:color="auto"/>
      </w:divBdr>
    </w:div>
    <w:div w:id="1305938151">
      <w:bodyDiv w:val="1"/>
      <w:marLeft w:val="0"/>
      <w:marRight w:val="0"/>
      <w:marTop w:val="0"/>
      <w:marBottom w:val="0"/>
      <w:divBdr>
        <w:top w:val="none" w:sz="0" w:space="0" w:color="auto"/>
        <w:left w:val="none" w:sz="0" w:space="0" w:color="auto"/>
        <w:bottom w:val="none" w:sz="0" w:space="0" w:color="auto"/>
        <w:right w:val="none" w:sz="0" w:space="0" w:color="auto"/>
      </w:divBdr>
    </w:div>
    <w:div w:id="1311397377">
      <w:bodyDiv w:val="1"/>
      <w:marLeft w:val="0"/>
      <w:marRight w:val="0"/>
      <w:marTop w:val="0"/>
      <w:marBottom w:val="0"/>
      <w:divBdr>
        <w:top w:val="none" w:sz="0" w:space="0" w:color="auto"/>
        <w:left w:val="none" w:sz="0" w:space="0" w:color="auto"/>
        <w:bottom w:val="none" w:sz="0" w:space="0" w:color="auto"/>
        <w:right w:val="none" w:sz="0" w:space="0" w:color="auto"/>
      </w:divBdr>
    </w:div>
    <w:div w:id="1330870669">
      <w:bodyDiv w:val="1"/>
      <w:marLeft w:val="0"/>
      <w:marRight w:val="0"/>
      <w:marTop w:val="0"/>
      <w:marBottom w:val="0"/>
      <w:divBdr>
        <w:top w:val="none" w:sz="0" w:space="0" w:color="auto"/>
        <w:left w:val="none" w:sz="0" w:space="0" w:color="auto"/>
        <w:bottom w:val="none" w:sz="0" w:space="0" w:color="auto"/>
        <w:right w:val="none" w:sz="0" w:space="0" w:color="auto"/>
      </w:divBdr>
    </w:div>
    <w:div w:id="1401172827">
      <w:bodyDiv w:val="1"/>
      <w:marLeft w:val="0"/>
      <w:marRight w:val="0"/>
      <w:marTop w:val="0"/>
      <w:marBottom w:val="0"/>
      <w:divBdr>
        <w:top w:val="none" w:sz="0" w:space="0" w:color="auto"/>
        <w:left w:val="none" w:sz="0" w:space="0" w:color="auto"/>
        <w:bottom w:val="none" w:sz="0" w:space="0" w:color="auto"/>
        <w:right w:val="none" w:sz="0" w:space="0" w:color="auto"/>
      </w:divBdr>
    </w:div>
    <w:div w:id="1408764000">
      <w:bodyDiv w:val="1"/>
      <w:marLeft w:val="0"/>
      <w:marRight w:val="0"/>
      <w:marTop w:val="0"/>
      <w:marBottom w:val="0"/>
      <w:divBdr>
        <w:top w:val="none" w:sz="0" w:space="0" w:color="auto"/>
        <w:left w:val="none" w:sz="0" w:space="0" w:color="auto"/>
        <w:bottom w:val="none" w:sz="0" w:space="0" w:color="auto"/>
        <w:right w:val="none" w:sz="0" w:space="0" w:color="auto"/>
      </w:divBdr>
    </w:div>
    <w:div w:id="1441141513">
      <w:bodyDiv w:val="1"/>
      <w:marLeft w:val="0"/>
      <w:marRight w:val="0"/>
      <w:marTop w:val="0"/>
      <w:marBottom w:val="0"/>
      <w:divBdr>
        <w:top w:val="none" w:sz="0" w:space="0" w:color="auto"/>
        <w:left w:val="none" w:sz="0" w:space="0" w:color="auto"/>
        <w:bottom w:val="none" w:sz="0" w:space="0" w:color="auto"/>
        <w:right w:val="none" w:sz="0" w:space="0" w:color="auto"/>
      </w:divBdr>
    </w:div>
    <w:div w:id="1586574128">
      <w:bodyDiv w:val="1"/>
      <w:marLeft w:val="0"/>
      <w:marRight w:val="0"/>
      <w:marTop w:val="0"/>
      <w:marBottom w:val="0"/>
      <w:divBdr>
        <w:top w:val="none" w:sz="0" w:space="0" w:color="auto"/>
        <w:left w:val="none" w:sz="0" w:space="0" w:color="auto"/>
        <w:bottom w:val="none" w:sz="0" w:space="0" w:color="auto"/>
        <w:right w:val="none" w:sz="0" w:space="0" w:color="auto"/>
      </w:divBdr>
    </w:div>
    <w:div w:id="1589387427">
      <w:bodyDiv w:val="1"/>
      <w:marLeft w:val="0"/>
      <w:marRight w:val="0"/>
      <w:marTop w:val="0"/>
      <w:marBottom w:val="0"/>
      <w:divBdr>
        <w:top w:val="none" w:sz="0" w:space="0" w:color="auto"/>
        <w:left w:val="none" w:sz="0" w:space="0" w:color="auto"/>
        <w:bottom w:val="none" w:sz="0" w:space="0" w:color="auto"/>
        <w:right w:val="none" w:sz="0" w:space="0" w:color="auto"/>
      </w:divBdr>
    </w:div>
    <w:div w:id="1592591825">
      <w:bodyDiv w:val="1"/>
      <w:marLeft w:val="0"/>
      <w:marRight w:val="0"/>
      <w:marTop w:val="0"/>
      <w:marBottom w:val="0"/>
      <w:divBdr>
        <w:top w:val="none" w:sz="0" w:space="0" w:color="auto"/>
        <w:left w:val="none" w:sz="0" w:space="0" w:color="auto"/>
        <w:bottom w:val="none" w:sz="0" w:space="0" w:color="auto"/>
        <w:right w:val="none" w:sz="0" w:space="0" w:color="auto"/>
      </w:divBdr>
    </w:div>
    <w:div w:id="1647708935">
      <w:bodyDiv w:val="1"/>
      <w:marLeft w:val="0"/>
      <w:marRight w:val="0"/>
      <w:marTop w:val="0"/>
      <w:marBottom w:val="0"/>
      <w:divBdr>
        <w:top w:val="none" w:sz="0" w:space="0" w:color="auto"/>
        <w:left w:val="none" w:sz="0" w:space="0" w:color="auto"/>
        <w:bottom w:val="none" w:sz="0" w:space="0" w:color="auto"/>
        <w:right w:val="none" w:sz="0" w:space="0" w:color="auto"/>
      </w:divBdr>
    </w:div>
    <w:div w:id="1665428516">
      <w:bodyDiv w:val="1"/>
      <w:marLeft w:val="0"/>
      <w:marRight w:val="0"/>
      <w:marTop w:val="0"/>
      <w:marBottom w:val="0"/>
      <w:divBdr>
        <w:top w:val="none" w:sz="0" w:space="0" w:color="auto"/>
        <w:left w:val="none" w:sz="0" w:space="0" w:color="auto"/>
        <w:bottom w:val="none" w:sz="0" w:space="0" w:color="auto"/>
        <w:right w:val="none" w:sz="0" w:space="0" w:color="auto"/>
      </w:divBdr>
    </w:div>
    <w:div w:id="1701197804">
      <w:bodyDiv w:val="1"/>
      <w:marLeft w:val="0"/>
      <w:marRight w:val="0"/>
      <w:marTop w:val="0"/>
      <w:marBottom w:val="0"/>
      <w:divBdr>
        <w:top w:val="none" w:sz="0" w:space="0" w:color="auto"/>
        <w:left w:val="none" w:sz="0" w:space="0" w:color="auto"/>
        <w:bottom w:val="none" w:sz="0" w:space="0" w:color="auto"/>
        <w:right w:val="none" w:sz="0" w:space="0" w:color="auto"/>
      </w:divBdr>
    </w:div>
    <w:div w:id="1705785508">
      <w:bodyDiv w:val="1"/>
      <w:marLeft w:val="0"/>
      <w:marRight w:val="0"/>
      <w:marTop w:val="0"/>
      <w:marBottom w:val="0"/>
      <w:divBdr>
        <w:top w:val="none" w:sz="0" w:space="0" w:color="auto"/>
        <w:left w:val="none" w:sz="0" w:space="0" w:color="auto"/>
        <w:bottom w:val="none" w:sz="0" w:space="0" w:color="auto"/>
        <w:right w:val="none" w:sz="0" w:space="0" w:color="auto"/>
      </w:divBdr>
    </w:div>
    <w:div w:id="1709641532">
      <w:bodyDiv w:val="1"/>
      <w:marLeft w:val="0"/>
      <w:marRight w:val="0"/>
      <w:marTop w:val="0"/>
      <w:marBottom w:val="0"/>
      <w:divBdr>
        <w:top w:val="none" w:sz="0" w:space="0" w:color="auto"/>
        <w:left w:val="none" w:sz="0" w:space="0" w:color="auto"/>
        <w:bottom w:val="none" w:sz="0" w:space="0" w:color="auto"/>
        <w:right w:val="none" w:sz="0" w:space="0" w:color="auto"/>
      </w:divBdr>
    </w:div>
    <w:div w:id="1745835126">
      <w:bodyDiv w:val="1"/>
      <w:marLeft w:val="0"/>
      <w:marRight w:val="0"/>
      <w:marTop w:val="0"/>
      <w:marBottom w:val="0"/>
      <w:divBdr>
        <w:top w:val="none" w:sz="0" w:space="0" w:color="auto"/>
        <w:left w:val="none" w:sz="0" w:space="0" w:color="auto"/>
        <w:bottom w:val="none" w:sz="0" w:space="0" w:color="auto"/>
        <w:right w:val="none" w:sz="0" w:space="0" w:color="auto"/>
      </w:divBdr>
    </w:div>
    <w:div w:id="1791433957">
      <w:bodyDiv w:val="1"/>
      <w:marLeft w:val="0"/>
      <w:marRight w:val="0"/>
      <w:marTop w:val="0"/>
      <w:marBottom w:val="0"/>
      <w:divBdr>
        <w:top w:val="none" w:sz="0" w:space="0" w:color="auto"/>
        <w:left w:val="none" w:sz="0" w:space="0" w:color="auto"/>
        <w:bottom w:val="none" w:sz="0" w:space="0" w:color="auto"/>
        <w:right w:val="none" w:sz="0" w:space="0" w:color="auto"/>
      </w:divBdr>
    </w:div>
    <w:div w:id="1810634039">
      <w:bodyDiv w:val="1"/>
      <w:marLeft w:val="0"/>
      <w:marRight w:val="0"/>
      <w:marTop w:val="0"/>
      <w:marBottom w:val="0"/>
      <w:divBdr>
        <w:top w:val="none" w:sz="0" w:space="0" w:color="auto"/>
        <w:left w:val="none" w:sz="0" w:space="0" w:color="auto"/>
        <w:bottom w:val="none" w:sz="0" w:space="0" w:color="auto"/>
        <w:right w:val="none" w:sz="0" w:space="0" w:color="auto"/>
      </w:divBdr>
    </w:div>
    <w:div w:id="1839684621">
      <w:bodyDiv w:val="1"/>
      <w:marLeft w:val="0"/>
      <w:marRight w:val="0"/>
      <w:marTop w:val="0"/>
      <w:marBottom w:val="0"/>
      <w:divBdr>
        <w:top w:val="none" w:sz="0" w:space="0" w:color="auto"/>
        <w:left w:val="none" w:sz="0" w:space="0" w:color="auto"/>
        <w:bottom w:val="none" w:sz="0" w:space="0" w:color="auto"/>
        <w:right w:val="none" w:sz="0" w:space="0" w:color="auto"/>
      </w:divBdr>
    </w:div>
    <w:div w:id="1960600030">
      <w:bodyDiv w:val="1"/>
      <w:marLeft w:val="0"/>
      <w:marRight w:val="0"/>
      <w:marTop w:val="0"/>
      <w:marBottom w:val="0"/>
      <w:divBdr>
        <w:top w:val="none" w:sz="0" w:space="0" w:color="auto"/>
        <w:left w:val="none" w:sz="0" w:space="0" w:color="auto"/>
        <w:bottom w:val="none" w:sz="0" w:space="0" w:color="auto"/>
        <w:right w:val="none" w:sz="0" w:space="0" w:color="auto"/>
      </w:divBdr>
    </w:div>
    <w:div w:id="1963611886">
      <w:bodyDiv w:val="1"/>
      <w:marLeft w:val="0"/>
      <w:marRight w:val="0"/>
      <w:marTop w:val="0"/>
      <w:marBottom w:val="0"/>
      <w:divBdr>
        <w:top w:val="none" w:sz="0" w:space="0" w:color="auto"/>
        <w:left w:val="none" w:sz="0" w:space="0" w:color="auto"/>
        <w:bottom w:val="none" w:sz="0" w:space="0" w:color="auto"/>
        <w:right w:val="none" w:sz="0" w:space="0" w:color="auto"/>
      </w:divBdr>
    </w:div>
    <w:div w:id="2044744097">
      <w:bodyDiv w:val="1"/>
      <w:marLeft w:val="0"/>
      <w:marRight w:val="0"/>
      <w:marTop w:val="0"/>
      <w:marBottom w:val="0"/>
      <w:divBdr>
        <w:top w:val="none" w:sz="0" w:space="0" w:color="auto"/>
        <w:left w:val="none" w:sz="0" w:space="0" w:color="auto"/>
        <w:bottom w:val="none" w:sz="0" w:space="0" w:color="auto"/>
        <w:right w:val="none" w:sz="0" w:space="0" w:color="auto"/>
      </w:divBdr>
    </w:div>
    <w:div w:id="2077120627">
      <w:bodyDiv w:val="1"/>
      <w:marLeft w:val="0"/>
      <w:marRight w:val="0"/>
      <w:marTop w:val="0"/>
      <w:marBottom w:val="0"/>
      <w:divBdr>
        <w:top w:val="none" w:sz="0" w:space="0" w:color="auto"/>
        <w:left w:val="none" w:sz="0" w:space="0" w:color="auto"/>
        <w:bottom w:val="none" w:sz="0" w:space="0" w:color="auto"/>
        <w:right w:val="none" w:sz="0" w:space="0" w:color="auto"/>
      </w:divBdr>
    </w:div>
    <w:div w:id="2138840899">
      <w:bodyDiv w:val="1"/>
      <w:marLeft w:val="0"/>
      <w:marRight w:val="0"/>
      <w:marTop w:val="0"/>
      <w:marBottom w:val="0"/>
      <w:divBdr>
        <w:top w:val="none" w:sz="0" w:space="0" w:color="auto"/>
        <w:left w:val="none" w:sz="0" w:space="0" w:color="auto"/>
        <w:bottom w:val="none" w:sz="0" w:space="0" w:color="auto"/>
        <w:right w:val="none" w:sz="0" w:space="0" w:color="auto"/>
      </w:divBdr>
    </w:div>
    <w:div w:id="214684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2013-08-19 GPA Design">
  <a:themeElements>
    <a:clrScheme name="Benutzerdefiniert 2">
      <a:dk1>
        <a:sysClr val="windowText" lastClr="000000"/>
      </a:dk1>
      <a:lt1>
        <a:sysClr val="window" lastClr="FFFFFF"/>
      </a:lt1>
      <a:dk2>
        <a:srgbClr val="1F497D"/>
      </a:dk2>
      <a:lt2>
        <a:srgbClr val="EEECE1"/>
      </a:lt2>
      <a:accent1>
        <a:srgbClr val="00ACE5"/>
      </a:accent1>
      <a:accent2>
        <a:srgbClr val="8CA3AF"/>
      </a:accent2>
      <a:accent3>
        <a:srgbClr val="E95F47"/>
      </a:accent3>
      <a:accent4>
        <a:srgbClr val="005980"/>
      </a:accent4>
      <a:accent5>
        <a:srgbClr val="EEF1F3"/>
      </a:accent5>
      <a:accent6>
        <a:srgbClr val="A5C4D2"/>
      </a:accent6>
      <a:hlink>
        <a:srgbClr val="00ACE5"/>
      </a:hlink>
      <a:folHlink>
        <a:srgbClr val="0059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97941-DD00-44C5-8EAE-B55692C2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6058</Words>
  <Characters>38169</Characters>
  <Application>Microsoft Office Word</Application>
  <DocSecurity>0</DocSecurity>
  <Lines>318</Lines>
  <Paragraphs>88</Paragraphs>
  <ScaleCrop>false</ScaleCrop>
  <HeadingPairs>
    <vt:vector size="2" baseType="variant">
      <vt:variant>
        <vt:lpstr>Titel</vt:lpstr>
      </vt:variant>
      <vt:variant>
        <vt:i4>1</vt:i4>
      </vt:variant>
    </vt:vector>
  </HeadingPairs>
  <TitlesOfParts>
    <vt:vector size="1" baseType="lpstr">
      <vt:lpstr>GPA Vermerk-Vorlage</vt:lpstr>
    </vt:vector>
  </TitlesOfParts>
  <Company>GPA NRW</Company>
  <LinksUpToDate>false</LinksUpToDate>
  <CharactersWithSpaces>44139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GPA Vermerk-Vorlage</dc:title>
  <dc:subject>Erstellung von Vermerken</dc:subject>
  <dc:creator>Pohl Holger</dc:creator>
  <cp:keywords>Muster für eine Vergabedienstanweisung</cp:keywords>
  <cp:lastModifiedBy>Junghans Ingo</cp:lastModifiedBy>
  <cp:revision>2</cp:revision>
  <cp:lastPrinted>2025-12-05T11:40:00Z</cp:lastPrinted>
  <dcterms:created xsi:type="dcterms:W3CDTF">2025-12-10T09:35:00Z</dcterms:created>
  <dcterms:modified xsi:type="dcterms:W3CDTF">2025-12-10T09:35:00Z</dcterms:modified>
  <cp:category>Vermerk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ow.View.Zoom.Percentage">
    <vt:i4>100</vt:i4>
  </property>
  <property fmtid="{D5CDD505-2E9C-101B-9397-08002B2CF9AE}" pid="3" name="Window.View.Zoom.PageRows">
    <vt:i4>0</vt:i4>
  </property>
  <property fmtid="{D5CDD505-2E9C-101B-9397-08002B2CF9AE}" pid="4" name="Window.View.Zoom.PageColumns">
    <vt:i4>0</vt:i4>
  </property>
  <property fmtid="{D5CDD505-2E9C-101B-9397-08002B2CF9AE}" pid="5" name="Application.PaneFormatting.Visible">
    <vt:bool>false</vt:bool>
  </property>
</Properties>
</file>